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42" w:rsidRDefault="00D75B42" w:rsidP="00D75B42">
      <w:pPr>
        <w:pStyle w:val="20"/>
        <w:shd w:val="clear" w:color="auto" w:fill="auto"/>
        <w:spacing w:before="0" w:after="240" w:line="240" w:lineRule="auto"/>
        <w:ind w:firstLine="709"/>
        <w:rPr>
          <w:b/>
          <w:sz w:val="32"/>
          <w:szCs w:val="32"/>
        </w:rPr>
      </w:pPr>
      <w:bookmarkStart w:id="0" w:name="_GoBack"/>
      <w:r w:rsidRPr="00D75B42">
        <w:rPr>
          <w:b/>
          <w:sz w:val="32"/>
          <w:szCs w:val="32"/>
        </w:rPr>
        <w:t>Синдром обострения хронической печеночной недостаточности. Новые данные.</w:t>
      </w:r>
    </w:p>
    <w:p w:rsidR="00D75B42" w:rsidRDefault="00D75B42" w:rsidP="00D75B42">
      <w:pPr>
        <w:pStyle w:val="20"/>
        <w:shd w:val="clear" w:color="auto" w:fill="auto"/>
        <w:spacing w:before="0" w:after="240" w:line="240" w:lineRule="auto"/>
        <w:ind w:firstLine="709"/>
        <w:rPr>
          <w:i/>
          <w:sz w:val="28"/>
          <w:szCs w:val="28"/>
        </w:rPr>
      </w:pPr>
      <w:r w:rsidRPr="00D75B42">
        <w:rPr>
          <w:i/>
          <w:sz w:val="28"/>
          <w:szCs w:val="28"/>
        </w:rPr>
        <w:t>Лантухов Д.В., врач-гастроэнтерол</w:t>
      </w:r>
      <w:r>
        <w:rPr>
          <w:i/>
          <w:sz w:val="28"/>
          <w:szCs w:val="28"/>
        </w:rPr>
        <w:t>ог, многопрофильное отделение № </w:t>
      </w:r>
      <w:r w:rsidRPr="00D75B42">
        <w:rPr>
          <w:i/>
          <w:sz w:val="28"/>
          <w:szCs w:val="28"/>
        </w:rPr>
        <w:t>1</w:t>
      </w:r>
    </w:p>
    <w:p w:rsidR="00A605EB" w:rsidRPr="00A605EB" w:rsidRDefault="00A605EB" w:rsidP="00A605EB">
      <w:pPr>
        <w:shd w:val="clear" w:color="auto" w:fill="FFFFFF"/>
        <w:spacing w:after="240" w:line="240" w:lineRule="auto"/>
        <w:ind w:right="301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605E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Источник</w:t>
      </w:r>
      <w:r w:rsidRPr="00A605E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:</w:t>
      </w:r>
      <w:r w:rsidRPr="00A605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r w:rsidRPr="00A605E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 xml:space="preserve">Acute-on-Chronic Liver Failure: An Update. </w:t>
      </w:r>
      <w:proofErr w:type="gramStart"/>
      <w:r w:rsidRPr="00A605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Ruben </w:t>
      </w:r>
      <w:proofErr w:type="spellStart"/>
      <w:r w:rsidRPr="00A605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Hernaez</w:t>
      </w:r>
      <w:proofErr w:type="spellEnd"/>
      <w:r w:rsidRPr="00A605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; Elsa </w:t>
      </w:r>
      <w:proofErr w:type="spellStart"/>
      <w:r w:rsidRPr="00A605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Solà</w:t>
      </w:r>
      <w:proofErr w:type="spellEnd"/>
      <w:r w:rsidRPr="00A605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; Richard Moreau; Pere </w:t>
      </w:r>
      <w:proofErr w:type="spellStart"/>
      <w:r w:rsidRPr="00A605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Ginès</w:t>
      </w:r>
      <w:proofErr w:type="spellEnd"/>
      <w:r w:rsidRPr="00A605E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.</w:t>
      </w:r>
      <w:proofErr w:type="gramEnd"/>
      <w:r w:rsidRPr="00A605E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A6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Gut</w:t>
      </w:r>
      <w:proofErr w:type="spellEnd"/>
      <w:r w:rsidRPr="00A6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2017;66(3):541-553. </w:t>
      </w:r>
    </w:p>
    <w:p w:rsidR="00964B02" w:rsidRPr="008A47D4" w:rsidRDefault="00964B02" w:rsidP="006E386F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A47D4">
        <w:rPr>
          <w:b/>
          <w:sz w:val="28"/>
          <w:szCs w:val="28"/>
        </w:rPr>
        <w:t>Обострение хронической печеночной недостаточности (ОХПН)</w:t>
      </w:r>
      <w:r w:rsidRPr="008A47D4">
        <w:rPr>
          <w:sz w:val="28"/>
          <w:szCs w:val="28"/>
        </w:rPr>
        <w:t xml:space="preserve"> — </w:t>
      </w:r>
      <w:r w:rsidR="0042347C" w:rsidRPr="008A47D4">
        <w:rPr>
          <w:sz w:val="28"/>
          <w:szCs w:val="28"/>
        </w:rPr>
        <w:t>это</w:t>
      </w:r>
      <w:r w:rsidRPr="008A47D4">
        <w:rPr>
          <w:sz w:val="28"/>
          <w:szCs w:val="28"/>
        </w:rPr>
        <w:t xml:space="preserve"> синдром, характеризующийся острой декомпенсацией цирроза печени в сочетании с органной недостаточностью (печени, почек,</w:t>
      </w:r>
      <w:r w:rsidR="00A437AE">
        <w:rPr>
          <w:sz w:val="28"/>
          <w:szCs w:val="28"/>
        </w:rPr>
        <w:t xml:space="preserve"> </w:t>
      </w:r>
      <w:r w:rsidRPr="008A47D4">
        <w:rPr>
          <w:sz w:val="28"/>
          <w:szCs w:val="28"/>
        </w:rPr>
        <w:t>головного мозга, дыхания, кровообращения и свертывания крови) и низкой выживаемостью (смертность в течение 28 дней достигает 30-40 %). Этот синдром может возникать у относительно молодых пациентов. Особенно часто он встречается при алкогольном гепатите и нелеченом гепатите В, осложнившемся циррозом; кроме того, он связан с бактериальной инфекцией и активным алкоголизмом, хотя в 40 % случаев выявить провоцирующие факторы не удается. ОХПН может развиться в любой момент заболевания (от компенсированного состояния до длительного цирроза) и возникает в условиях системного воспаления, тяжесть которого коррелирует с коли</w:t>
      </w:r>
      <w:r w:rsidRPr="008A47D4">
        <w:rPr>
          <w:sz w:val="28"/>
          <w:szCs w:val="28"/>
        </w:rPr>
        <w:softHyphen/>
        <w:t>чеством пораженных органов и смертностью. Системное воспаление может вызывать ОХПН посредством сложного механизма, включающего усиление воспалительного ответа и системное свободнорадикальное окисление под воздействием различных патогенных факторов и изменение тканевого гомеостаза в ответ на воспаление, обусловленное самим патогеном или нарушением толерантности тканей. По</w:t>
      </w:r>
      <w:r w:rsidR="00F701B4" w:rsidRPr="008A47D4">
        <w:rPr>
          <w:sz w:val="28"/>
          <w:szCs w:val="28"/>
        </w:rPr>
        <w:t>дбор рациональной терапии облег</w:t>
      </w:r>
      <w:r w:rsidRPr="008A47D4">
        <w:rPr>
          <w:sz w:val="28"/>
          <w:szCs w:val="28"/>
        </w:rPr>
        <w:t>чается благодаря пошаговому алгоритму, основанному на оценочной системе из показателей, разработанных Консорциумом по хр</w:t>
      </w:r>
      <w:r w:rsidR="006E386F" w:rsidRPr="008A47D4">
        <w:rPr>
          <w:sz w:val="28"/>
          <w:szCs w:val="28"/>
        </w:rPr>
        <w:t>онической печеночной недостаточности. Лечение ОХП</w:t>
      </w:r>
      <w:r w:rsidRPr="008A47D4">
        <w:rPr>
          <w:sz w:val="28"/>
          <w:szCs w:val="28"/>
        </w:rPr>
        <w:t>Н должно проводиться в специально оборудованных отделениях или отделениях интенсивной терапии. В настоящее время лечение включает борьбу с осложнениями, поддержку функции органов и трансплантацию печени.</w:t>
      </w:r>
    </w:p>
    <w:p w:rsidR="006E386F" w:rsidRDefault="006E386F" w:rsidP="006E386F">
      <w:pPr>
        <w:pStyle w:val="9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47D4">
        <w:rPr>
          <w:rFonts w:ascii="Times New Roman" w:hAnsi="Times New Roman" w:cs="Times New Roman"/>
          <w:sz w:val="28"/>
          <w:szCs w:val="28"/>
        </w:rPr>
        <w:t>ОХПН — специфический синдром, характеризующийся острой декомпенсацией, органной недостаточностью</w:t>
      </w:r>
      <w:r w:rsidR="00623073">
        <w:rPr>
          <w:rFonts w:ascii="Times New Roman" w:hAnsi="Times New Roman" w:cs="Times New Roman"/>
          <w:sz w:val="28"/>
          <w:szCs w:val="28"/>
        </w:rPr>
        <w:t xml:space="preserve"> (ОН)</w:t>
      </w:r>
      <w:r w:rsidRPr="008A47D4">
        <w:rPr>
          <w:rFonts w:ascii="Times New Roman" w:hAnsi="Times New Roman" w:cs="Times New Roman"/>
          <w:sz w:val="28"/>
          <w:szCs w:val="28"/>
        </w:rPr>
        <w:t xml:space="preserve"> и высокой ранней смертностью. Под острой декомпенсацией понимают развитие асцита, энцефалопатии, кровотечения из ЖКТ и/или бактериальных инфекций. Органная недостаточность (печень, почки, головной мозг, свертывание, дыхание, кровообращение) диагностируется по оригинальной шкале последовательной оценки органной недостаточности Консорциума по ХПН </w:t>
      </w:r>
      <w:r w:rsidRPr="008A47D4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CLIF</w:t>
      </w:r>
      <w:r w:rsidRPr="008A47D4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SOFA</w:t>
      </w:r>
      <w:r w:rsidRPr="008A47D4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8A47D4">
        <w:rPr>
          <w:rFonts w:ascii="Times New Roman" w:hAnsi="Times New Roman" w:cs="Times New Roman"/>
          <w:sz w:val="28"/>
          <w:szCs w:val="28"/>
        </w:rPr>
        <w:t xml:space="preserve">или ее упрощенной версии — шкале </w:t>
      </w:r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CLIF</w:t>
      </w:r>
      <w:r w:rsidRPr="008A47D4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="00E320C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Pr="008A47D4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8A47D4">
        <w:rPr>
          <w:rFonts w:ascii="Times New Roman" w:hAnsi="Times New Roman" w:cs="Times New Roman"/>
          <w:sz w:val="28"/>
          <w:szCs w:val="28"/>
        </w:rPr>
        <w:t>Высокая ранняя смертность — это смертность &gt; 15 % за 28 дней.</w:t>
      </w:r>
    </w:p>
    <w:p w:rsidR="00A605EB" w:rsidRDefault="00A605EB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094B" w:rsidRPr="0054094B" w:rsidRDefault="0054094B" w:rsidP="0054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4094B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Клиническая картина и провоцирующие факторы </w:t>
      </w:r>
      <w:r>
        <w:rPr>
          <w:rFonts w:ascii="Times New Roman" w:hAnsi="Times New Roman" w:cs="Times New Roman"/>
          <w:b/>
          <w:iCs/>
          <w:sz w:val="28"/>
          <w:szCs w:val="28"/>
        </w:rPr>
        <w:t>ОХП</w:t>
      </w:r>
      <w:r w:rsidRPr="0054094B">
        <w:rPr>
          <w:rFonts w:ascii="Times New Roman" w:hAnsi="Times New Roman" w:cs="Times New Roman"/>
          <w:b/>
          <w:iCs/>
          <w:sz w:val="28"/>
          <w:szCs w:val="28"/>
        </w:rPr>
        <w:t>Н</w:t>
      </w:r>
    </w:p>
    <w:p w:rsidR="0054094B" w:rsidRPr="0054094B" w:rsidRDefault="0054094B" w:rsidP="0054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 ОХП</w:t>
      </w:r>
      <w:r w:rsidRPr="0054094B">
        <w:rPr>
          <w:rFonts w:ascii="Times New Roman" w:hAnsi="Times New Roman" w:cs="Times New Roman"/>
          <w:sz w:val="28"/>
          <w:szCs w:val="28"/>
        </w:rPr>
        <w:t>Н были значительно моложе, чем участ</w:t>
      </w:r>
      <w:r>
        <w:rPr>
          <w:rFonts w:ascii="Times New Roman" w:hAnsi="Times New Roman" w:cs="Times New Roman"/>
          <w:sz w:val="28"/>
          <w:szCs w:val="28"/>
        </w:rPr>
        <w:t>ники без ОХП</w:t>
      </w:r>
      <w:r w:rsidRPr="0054094B">
        <w:rPr>
          <w:rFonts w:ascii="Times New Roman" w:hAnsi="Times New Roman" w:cs="Times New Roman"/>
          <w:sz w:val="28"/>
          <w:szCs w:val="28"/>
        </w:rPr>
        <w:t xml:space="preserve">Н. Распространенность ОХПН среди пациентов, госпитализированных с острой декомпенсацией, составляет 30 % и особенно часто встречается при циррозе, вызванном гепатитом </w:t>
      </w:r>
      <w:r w:rsidRPr="0054094B">
        <w:rPr>
          <w:rFonts w:ascii="Times New Roman" w:hAnsi="Times New Roman" w:cs="Times New Roman"/>
          <w:sz w:val="28"/>
          <w:szCs w:val="28"/>
          <w:lang w:val="en-US" w:bidi="en-US"/>
        </w:rPr>
        <w:t>B</w:t>
      </w:r>
      <w:r w:rsidRPr="0054094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54094B">
        <w:rPr>
          <w:rFonts w:ascii="Times New Roman" w:hAnsi="Times New Roman" w:cs="Times New Roman"/>
          <w:sz w:val="28"/>
          <w:szCs w:val="28"/>
        </w:rPr>
        <w:t xml:space="preserve">и алкогольным гепатитом. На фоне цирроза ОХПН может развиться в любой момент и особенно тяжело протекает у пациентов, у которых ранее не было острой декомпенсации. Самые частые провоцирующие факторы ОХПН — бактериальная инфекция, активный алкоголизм или острая реактивация гепатита </w:t>
      </w:r>
      <w:r w:rsidRPr="0054094B">
        <w:rPr>
          <w:rFonts w:ascii="Times New Roman" w:hAnsi="Times New Roman" w:cs="Times New Roman"/>
          <w:sz w:val="28"/>
          <w:szCs w:val="28"/>
          <w:lang w:val="en-US" w:bidi="en-US"/>
        </w:rPr>
        <w:t>B</w:t>
      </w:r>
      <w:r w:rsidRPr="0054094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54094B">
        <w:rPr>
          <w:rFonts w:ascii="Times New Roman" w:hAnsi="Times New Roman" w:cs="Times New Roman"/>
          <w:sz w:val="28"/>
          <w:szCs w:val="28"/>
        </w:rPr>
        <w:t>но в 40 % случаев выявить провоцирующий фактор не удается.</w:t>
      </w:r>
    </w:p>
    <w:p w:rsidR="0054094B" w:rsidRPr="008A47D4" w:rsidRDefault="0054094B" w:rsidP="0054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8A47D4">
        <w:rPr>
          <w:rFonts w:ascii="Times New Roman" w:eastAsia="PragmaticaBook-Reg" w:hAnsi="Times New Roman" w:cs="Times New Roman"/>
          <w:sz w:val="28"/>
          <w:szCs w:val="28"/>
        </w:rPr>
        <w:t>В 30 % случаев ОХПН воспаление развивается в ответ на бактериальную инфекцию. Бактерии выделяют различные молекулы (молекулярные профили, связанные с патогенами, PAMP), которые специфически распознаются рецепторами распознавания моделей (PRR), экспрессируемыми на клетках неспецифического иммунитета. В первые часы инфекции распознавание этими рецепторами PAMP приводит к индукции сотен генов, включая те, что кодируют провоспалительные цитокины. Индукция этих цитокинов у пациентов с ОХПН избыточна, и это вызывает повреждение тканей (иммунопатология) и в дальнейшем полиорганную недостаточность.</w:t>
      </w:r>
    </w:p>
    <w:p w:rsidR="0054094B" w:rsidRPr="008A47D4" w:rsidRDefault="0054094B" w:rsidP="0054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8A47D4">
        <w:rPr>
          <w:rFonts w:ascii="Times New Roman" w:eastAsia="PragmaticaBook-Reg" w:hAnsi="Times New Roman" w:cs="Times New Roman"/>
          <w:sz w:val="28"/>
          <w:szCs w:val="28"/>
        </w:rPr>
        <w:t>Повреждение тканей при ОХПН, связанной с инфекцией, может быть вызвано и другими механизмами (помимо иммунопатологии). Бактерии могут напрямую повреждать ткани организма, влияя на широкий спектр функций клеток. Кроме того, повреждение тканей может быть обусловлено нарушением толерантности, т. е. механизмов устойчивости, которые в норме защищают ткани от прямого повреждения бактериями и иммунопатологии.</w:t>
      </w:r>
    </w:p>
    <w:p w:rsidR="0054094B" w:rsidRDefault="0054094B" w:rsidP="0054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8A47D4">
        <w:rPr>
          <w:rFonts w:ascii="Times New Roman" w:eastAsia="PragmaticaBook-Reg" w:hAnsi="Times New Roman" w:cs="Times New Roman"/>
          <w:sz w:val="28"/>
          <w:szCs w:val="28"/>
        </w:rPr>
        <w:t>Для расшифровки механизмов органной недостаточности при ОХПН необходимы дополнительные исследования.</w:t>
      </w:r>
    </w:p>
    <w:p w:rsidR="00EB2805" w:rsidRPr="008A47D4" w:rsidRDefault="00EB2805" w:rsidP="0054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54094B" w:rsidRPr="00EB2805" w:rsidRDefault="00EB2805" w:rsidP="00EB2805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05"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6E386F" w:rsidRPr="008A47D4" w:rsidRDefault="006E386F" w:rsidP="006E386F">
      <w:pPr>
        <w:pStyle w:val="9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47D4">
        <w:rPr>
          <w:rFonts w:ascii="Times New Roman" w:hAnsi="Times New Roman" w:cs="Times New Roman"/>
          <w:sz w:val="28"/>
          <w:szCs w:val="28"/>
        </w:rPr>
        <w:t xml:space="preserve">У пациентов с недостаточностью одного органа смертность за 28 дней зависит от вида пораженного органа, нарушения функции почек (уровень сывороточного креатинина 1,5-1,9 мг/дл) и наличия печеночной энцефалопатии (ПЭ) </w:t>
      </w:r>
      <w:proofErr w:type="gramStart"/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proofErr w:type="gramEnd"/>
      <w:r w:rsidRPr="008A47D4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II</w:t>
      </w:r>
      <w:r w:rsidRPr="008A47D4">
        <w:rPr>
          <w:rFonts w:ascii="Times New Roman" w:hAnsi="Times New Roman" w:cs="Times New Roman"/>
          <w:sz w:val="28"/>
          <w:szCs w:val="28"/>
        </w:rPr>
        <w:t xml:space="preserve">степени. При недостаточности функции печени, свертывания, дыхания и кровообращения без нарушений со стороны головного мозга и/или почек смертность невысока — 5-7 %, ОХПН у таких пациентов нет. При ПЭ </w:t>
      </w:r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III</w:t>
      </w:r>
      <w:r w:rsidRPr="008A47D4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IV</w:t>
      </w:r>
      <w:r w:rsidRPr="008A47D4">
        <w:rPr>
          <w:rFonts w:ascii="Times New Roman" w:hAnsi="Times New Roman" w:cs="Times New Roman"/>
          <w:sz w:val="28"/>
          <w:szCs w:val="28"/>
        </w:rPr>
        <w:t>степени без нарушения функции почек смертность также не превышает 8 % и ОХПН нет.</w:t>
      </w:r>
    </w:p>
    <w:p w:rsidR="006E386F" w:rsidRPr="008A47D4" w:rsidRDefault="006E386F" w:rsidP="006E386F">
      <w:pPr>
        <w:pStyle w:val="9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47D4">
        <w:rPr>
          <w:rFonts w:ascii="Times New Roman" w:hAnsi="Times New Roman" w:cs="Times New Roman"/>
          <w:sz w:val="28"/>
          <w:szCs w:val="28"/>
        </w:rPr>
        <w:t>Наконец, при почечной недостаточности (сывороточный креатинин &gt; 2 мг/дл), ПЭ и нарушении функции почек, а также недостаточности функции печени, свертывания, дыхания и кровообращения в сочетании с ПЭ и нарушением функции почек смертность составляет 16-30 %, такие пациенты имеют ОХПН. Иными словами, недостаточность одного органа еще не означает ОХПН.</w:t>
      </w:r>
    </w:p>
    <w:p w:rsidR="006E386F" w:rsidRPr="008A47D4" w:rsidRDefault="006E386F" w:rsidP="006E386F">
      <w:pPr>
        <w:pStyle w:val="90"/>
        <w:shd w:val="clear" w:color="auto" w:fill="auto"/>
        <w:tabs>
          <w:tab w:val="left" w:pos="5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47D4">
        <w:rPr>
          <w:rFonts w:ascii="Times New Roman" w:hAnsi="Times New Roman" w:cs="Times New Roman"/>
          <w:sz w:val="28"/>
          <w:szCs w:val="28"/>
        </w:rPr>
        <w:t xml:space="preserve">Смертность при ОХПН коррелирует со степенью последней: при </w:t>
      </w:r>
      <w:r w:rsidRPr="008A47D4">
        <w:rPr>
          <w:rFonts w:ascii="Times New Roman" w:hAnsi="Times New Roman" w:cs="Times New Roman"/>
          <w:sz w:val="28"/>
          <w:szCs w:val="28"/>
        </w:rPr>
        <w:lastRenderedPageBreak/>
        <w:t>ОХПН-1 смертность за 28 дней составляет 22 %; при ОХПН-2 (недостаточн</w:t>
      </w:r>
      <w:r w:rsidR="00CA7198" w:rsidRPr="008A47D4">
        <w:rPr>
          <w:rFonts w:ascii="Times New Roman" w:hAnsi="Times New Roman" w:cs="Times New Roman"/>
          <w:sz w:val="28"/>
          <w:szCs w:val="28"/>
        </w:rPr>
        <w:t>ость 2 органов) — 32 %; при ОХП</w:t>
      </w:r>
      <w:r w:rsidRPr="008A47D4">
        <w:rPr>
          <w:rFonts w:ascii="Times New Roman" w:hAnsi="Times New Roman" w:cs="Times New Roman"/>
          <w:sz w:val="28"/>
          <w:szCs w:val="28"/>
        </w:rPr>
        <w:t>Н-3 (недостаточность 3-6 органов) — 73 %. Смертность среди пациентов без ОХПН — 4,9 %.</w:t>
      </w:r>
    </w:p>
    <w:p w:rsidR="006E386F" w:rsidRPr="008A47D4" w:rsidRDefault="006E386F" w:rsidP="006E386F">
      <w:pPr>
        <w:pStyle w:val="90"/>
        <w:shd w:val="clear" w:color="auto" w:fill="auto"/>
        <w:tabs>
          <w:tab w:val="left" w:pos="5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47D4">
        <w:rPr>
          <w:rFonts w:ascii="Times New Roman" w:hAnsi="Times New Roman" w:cs="Times New Roman"/>
          <w:sz w:val="28"/>
          <w:szCs w:val="28"/>
        </w:rPr>
        <w:t>ОХПН — очень динамичное состояние. За короткое время состояние пациента может улучшиться (50 %) или ухудшиться (20 %). Поэтому неудивительно, что прогноз зависит от раннего клинического течени</w:t>
      </w:r>
      <w:r w:rsidR="002E5B05" w:rsidRPr="008A47D4">
        <w:rPr>
          <w:rFonts w:ascii="Times New Roman" w:hAnsi="Times New Roman" w:cs="Times New Roman"/>
          <w:sz w:val="28"/>
          <w:szCs w:val="28"/>
        </w:rPr>
        <w:t>я, а не от исходной степени ОХП</w:t>
      </w:r>
      <w:r w:rsidRPr="008A47D4">
        <w:rPr>
          <w:rFonts w:ascii="Times New Roman" w:hAnsi="Times New Roman" w:cs="Times New Roman"/>
          <w:sz w:val="28"/>
          <w:szCs w:val="28"/>
        </w:rPr>
        <w:t>Н.</w:t>
      </w:r>
    </w:p>
    <w:p w:rsidR="00FE1814" w:rsidRDefault="006E386F" w:rsidP="0030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D4">
        <w:rPr>
          <w:rFonts w:ascii="Times New Roman" w:hAnsi="Times New Roman" w:cs="Times New Roman"/>
          <w:sz w:val="28"/>
          <w:szCs w:val="28"/>
        </w:rPr>
        <w:t xml:space="preserve">В качестве модели для диагностики ОН была выбрана шкала последовательной оценки органной недостаточности </w:t>
      </w:r>
      <w:r w:rsidRPr="008A47D4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Sequential</w:t>
      </w:r>
      <w:r w:rsidRPr="008A47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Organ</w:t>
      </w:r>
      <w:r w:rsidRPr="008A47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Failure</w:t>
      </w:r>
      <w:r w:rsidRPr="008A47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Assessment</w:t>
      </w:r>
      <w:r w:rsidRPr="008A47D4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SOFA</w:t>
      </w:r>
      <w:r w:rsidRPr="008A47D4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8A47D4">
        <w:rPr>
          <w:rFonts w:ascii="Times New Roman" w:hAnsi="Times New Roman" w:cs="Times New Roman"/>
          <w:sz w:val="28"/>
          <w:szCs w:val="28"/>
        </w:rPr>
        <w:t>т. к. она широк</w:t>
      </w:r>
      <w:r w:rsidR="00435C8C" w:rsidRPr="008A47D4">
        <w:rPr>
          <w:rFonts w:ascii="Times New Roman" w:hAnsi="Times New Roman" w:cs="Times New Roman"/>
          <w:sz w:val="28"/>
          <w:szCs w:val="28"/>
        </w:rPr>
        <w:t>о применяется у пациентов, кото</w:t>
      </w:r>
      <w:r w:rsidRPr="008A47D4">
        <w:rPr>
          <w:rFonts w:ascii="Times New Roman" w:hAnsi="Times New Roman" w:cs="Times New Roman"/>
          <w:sz w:val="28"/>
          <w:szCs w:val="28"/>
        </w:rPr>
        <w:t xml:space="preserve">рым требуется интенсивная терапия, и превосходит оценки </w:t>
      </w:r>
      <w:proofErr w:type="spellStart"/>
      <w:r w:rsidRPr="008A47D4">
        <w:rPr>
          <w:rFonts w:ascii="Times New Roman" w:hAnsi="Times New Roman" w:cs="Times New Roman"/>
          <w:sz w:val="28"/>
          <w:szCs w:val="28"/>
        </w:rPr>
        <w:t>Чайлда</w:t>
      </w:r>
      <w:proofErr w:type="spellEnd"/>
      <w:r w:rsidRPr="008A47D4">
        <w:rPr>
          <w:rFonts w:ascii="Times New Roman" w:hAnsi="Times New Roman" w:cs="Times New Roman"/>
          <w:sz w:val="28"/>
          <w:szCs w:val="28"/>
        </w:rPr>
        <w:t xml:space="preserve">—Пью и </w:t>
      </w:r>
      <w:r w:rsidRPr="008A47D4">
        <w:rPr>
          <w:rFonts w:ascii="Times New Roman" w:hAnsi="Times New Roman" w:cs="Times New Roman"/>
          <w:sz w:val="28"/>
          <w:szCs w:val="28"/>
          <w:lang w:val="en-US" w:bidi="en-US"/>
        </w:rPr>
        <w:t>MELD</w:t>
      </w:r>
      <w:r w:rsidR="0089238D">
        <w:rPr>
          <w:rFonts w:ascii="Times New Roman" w:hAnsi="Times New Roman" w:cs="Times New Roman"/>
          <w:sz w:val="28"/>
          <w:szCs w:val="28"/>
          <w:lang w:bidi="en-US"/>
        </w:rPr>
        <w:t xml:space="preserve"> (модель терминальной стадии заболевания печени)</w:t>
      </w:r>
      <w:r w:rsidRPr="008A47D4">
        <w:rPr>
          <w:rFonts w:ascii="Times New Roman" w:hAnsi="Times New Roman" w:cs="Times New Roman"/>
          <w:sz w:val="28"/>
          <w:szCs w:val="28"/>
        </w:rPr>
        <w:t xml:space="preserve"> в прогнозировании смертельного исхода у пациентов с циррозом и ОН. </w:t>
      </w:r>
    </w:p>
    <w:p w:rsidR="0054094B" w:rsidRPr="008A47D4" w:rsidRDefault="0054094B" w:rsidP="0030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94B" w:rsidRPr="00A63999" w:rsidRDefault="0054094B" w:rsidP="0054094B">
      <w:pPr>
        <w:pStyle w:val="a6"/>
        <w:shd w:val="clear" w:color="auto" w:fill="auto"/>
        <w:spacing w:after="200" w:line="240" w:lineRule="auto"/>
        <w:ind w:firstLine="709"/>
        <w:jc w:val="both"/>
        <w:rPr>
          <w:sz w:val="28"/>
          <w:szCs w:val="28"/>
        </w:rPr>
      </w:pPr>
      <w:r w:rsidRPr="00A63999">
        <w:rPr>
          <w:sz w:val="28"/>
          <w:szCs w:val="28"/>
        </w:rPr>
        <w:t xml:space="preserve">Таблица 1. Оценка ОХПН по шкале </w:t>
      </w:r>
      <w:r w:rsidRPr="00A63999">
        <w:rPr>
          <w:bCs/>
          <w:color w:val="222222"/>
          <w:sz w:val="28"/>
          <w:szCs w:val="28"/>
        </w:rPr>
        <w:t>CLIF-SOFA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1005"/>
        <w:gridCol w:w="1427"/>
        <w:gridCol w:w="1601"/>
        <w:gridCol w:w="1418"/>
        <w:gridCol w:w="1446"/>
      </w:tblGrid>
      <w:tr w:rsidR="0054094B" w:rsidRPr="00CC2FBF" w:rsidTr="00CC5DC7">
        <w:trPr>
          <w:trHeight w:hRule="exact" w:val="269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rStyle w:val="21"/>
              </w:rPr>
              <w:t>Орган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rStyle w:val="21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rStyle w:val="21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rStyle w:val="21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rStyle w:val="21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rStyle w:val="21"/>
              </w:rPr>
              <w:t>4</w:t>
            </w:r>
          </w:p>
        </w:tc>
      </w:tr>
      <w:tr w:rsidR="0054094B" w:rsidRPr="00CC2FBF" w:rsidTr="00CC5DC7">
        <w:trPr>
          <w:trHeight w:hRule="exact" w:val="742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Печень</w:t>
            </w:r>
          </w:p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(билирубин, мг/</w:t>
            </w:r>
            <w:proofErr w:type="spellStart"/>
            <w:r w:rsidRPr="00CC2FBF">
              <w:rPr>
                <w:sz w:val="22"/>
                <w:szCs w:val="22"/>
              </w:rPr>
              <w:t>дл</w:t>
            </w:r>
            <w:proofErr w:type="spellEnd"/>
            <w:r w:rsidRPr="00CC2FBF">
              <w:rPr>
                <w:sz w:val="22"/>
                <w:szCs w:val="22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&lt;1.2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&gt;1.2 до &lt;2.0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&gt;2.0 до &lt;6.0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&gt;6.0</w:t>
            </w:r>
          </w:p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до &lt;12.0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&gt;12.0</w:t>
            </w:r>
          </w:p>
        </w:tc>
      </w:tr>
      <w:tr w:rsidR="0054094B" w:rsidRPr="00CC2FBF" w:rsidTr="00CC5DC7">
        <w:trPr>
          <w:trHeight w:hRule="exact" w:val="51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Почки</w:t>
            </w:r>
          </w:p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(</w:t>
            </w:r>
            <w:proofErr w:type="spellStart"/>
            <w:r w:rsidRPr="00CC2FBF">
              <w:rPr>
                <w:sz w:val="22"/>
                <w:szCs w:val="22"/>
              </w:rPr>
              <w:t>креатинин</w:t>
            </w:r>
            <w:proofErr w:type="spellEnd"/>
            <w:r w:rsidRPr="00CC2FBF">
              <w:rPr>
                <w:sz w:val="22"/>
                <w:szCs w:val="22"/>
              </w:rPr>
              <w:t>, мг/</w:t>
            </w:r>
            <w:proofErr w:type="spellStart"/>
            <w:r w:rsidRPr="00CC2FBF">
              <w:rPr>
                <w:sz w:val="22"/>
                <w:szCs w:val="22"/>
              </w:rPr>
              <w:t>дл</w:t>
            </w:r>
            <w:proofErr w:type="spellEnd"/>
            <w:r w:rsidRPr="00CC2FBF">
              <w:rPr>
                <w:sz w:val="22"/>
                <w:szCs w:val="22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&lt;1.2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&gt;1.2 до &lt;2.0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&gt;2.0 до &lt;3.5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&gt;3.5 до &lt;5.0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&gt;5.0</w:t>
            </w:r>
          </w:p>
        </w:tc>
      </w:tr>
      <w:tr w:rsidR="0054094B" w:rsidRPr="00CC2FBF" w:rsidTr="00CC5DC7">
        <w:trPr>
          <w:trHeight w:hRule="exact" w:val="51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C2FBF">
              <w:rPr>
                <w:sz w:val="22"/>
                <w:szCs w:val="22"/>
              </w:rPr>
              <w:t>оловной мозг (ПЭ, степень)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нет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I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II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III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IV</w:t>
            </w:r>
          </w:p>
        </w:tc>
      </w:tr>
      <w:tr w:rsidR="0054094B" w:rsidRPr="00CC2FBF" w:rsidTr="00CC5DC7">
        <w:trPr>
          <w:trHeight w:hRule="exact" w:val="76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Свертываемость</w:t>
            </w:r>
          </w:p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(МНО)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&lt;1.1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&gt;1.1</w:t>
            </w:r>
          </w:p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до &lt;1.25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&gt;1.25 до &lt;1.5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&gt;1.5 до &lt;2.5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&gt;2.5 или тромбоциты &lt;20х</w:t>
            </w:r>
            <w:r>
              <w:rPr>
                <w:sz w:val="22"/>
                <w:szCs w:val="22"/>
                <w:lang w:val="en-US" w:bidi="en-US"/>
              </w:rPr>
              <w:t>10</w:t>
            </w:r>
            <w:r w:rsidRPr="00ED40D9">
              <w:rPr>
                <w:sz w:val="22"/>
                <w:szCs w:val="22"/>
                <w:vertAlign w:val="superscript"/>
                <w:lang w:val="en-US" w:bidi="en-US"/>
              </w:rPr>
              <w:t>9</w:t>
            </w:r>
            <w:r>
              <w:rPr>
                <w:sz w:val="22"/>
                <w:szCs w:val="22"/>
                <w:lang w:bidi="en-US"/>
              </w:rPr>
              <w:t>/</w:t>
            </w:r>
            <w:r w:rsidRPr="00CC2FBF">
              <w:rPr>
                <w:sz w:val="22"/>
                <w:szCs w:val="22"/>
                <w:lang w:val="en-US" w:bidi="en-US"/>
              </w:rPr>
              <w:t>L</w:t>
            </w:r>
          </w:p>
        </w:tc>
      </w:tr>
      <w:tr w:rsidR="0054094B" w:rsidRPr="00CC2FBF" w:rsidTr="00CC5DC7">
        <w:trPr>
          <w:trHeight w:hRule="exact" w:val="76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Кровообращение (среднее АД)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&gt;70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&lt;70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Д &lt;5</w:t>
            </w:r>
          </w:p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или</w:t>
            </w:r>
            <w:proofErr w:type="gramStart"/>
            <w:r w:rsidRPr="00CC2FBF">
              <w:rPr>
                <w:sz w:val="22"/>
                <w:szCs w:val="22"/>
              </w:rPr>
              <w:t xml:space="preserve"> Т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Д&gt;5 или</w:t>
            </w:r>
            <w:proofErr w:type="gramStart"/>
            <w:r w:rsidRPr="00CC2FBF">
              <w:rPr>
                <w:sz w:val="22"/>
                <w:szCs w:val="22"/>
              </w:rPr>
              <w:t xml:space="preserve"> А</w:t>
            </w:r>
            <w:proofErr w:type="gramEnd"/>
            <w:r w:rsidRPr="00CC2FBF">
              <w:rPr>
                <w:sz w:val="22"/>
                <w:szCs w:val="22"/>
              </w:rPr>
              <w:t xml:space="preserve"> &lt;0.1 или НА &lt;0.1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Д&gt;15 или</w:t>
            </w:r>
            <w:proofErr w:type="gramStart"/>
            <w:r w:rsidRPr="00CC2FBF">
              <w:rPr>
                <w:sz w:val="22"/>
                <w:szCs w:val="22"/>
              </w:rPr>
              <w:t xml:space="preserve"> А</w:t>
            </w:r>
            <w:proofErr w:type="gramEnd"/>
            <w:r w:rsidRPr="00CC2FBF">
              <w:rPr>
                <w:sz w:val="22"/>
                <w:szCs w:val="22"/>
              </w:rPr>
              <w:t>&gt;0.1 или НА&gt;0.1</w:t>
            </w:r>
          </w:p>
        </w:tc>
      </w:tr>
      <w:tr w:rsidR="0054094B" w:rsidRPr="00CC2FBF" w:rsidTr="00CC5DC7">
        <w:trPr>
          <w:trHeight w:hRule="exact" w:val="52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Легкие</w:t>
            </w:r>
          </w:p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  <w:lang w:val="en-US" w:bidi="en-US"/>
              </w:rPr>
              <w:t>(</w:t>
            </w:r>
            <w:proofErr w:type="spellStart"/>
            <w:r w:rsidRPr="00CC2FBF">
              <w:rPr>
                <w:sz w:val="22"/>
                <w:szCs w:val="22"/>
                <w:lang w:val="en-US" w:bidi="en-US"/>
              </w:rPr>
              <w:t>PaO</w:t>
            </w:r>
            <w:proofErr w:type="spellEnd"/>
            <w:r w:rsidRPr="00CC2FBF">
              <w:rPr>
                <w:sz w:val="22"/>
                <w:szCs w:val="22"/>
                <w:lang w:val="en-US" w:bidi="en-US"/>
              </w:rPr>
              <w:t>/FiO2)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&gt;400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&gt;300 до &lt;400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&gt;200 до &lt;300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&gt;100 до &lt;200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94B" w:rsidRPr="00CC2FBF" w:rsidRDefault="0054094B" w:rsidP="00CC5D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2FBF">
              <w:rPr>
                <w:sz w:val="22"/>
                <w:szCs w:val="22"/>
              </w:rPr>
              <w:t>&lt;100</w:t>
            </w:r>
          </w:p>
        </w:tc>
      </w:tr>
    </w:tbl>
    <w:p w:rsidR="00C45CBE" w:rsidRPr="00562EC8" w:rsidRDefault="0054094B" w:rsidP="00C45CBE">
      <w:pPr>
        <w:pStyle w:val="a6"/>
        <w:shd w:val="clear" w:color="auto" w:fill="auto"/>
        <w:spacing w:line="25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Пр</w:t>
      </w:r>
      <w:r w:rsidRPr="00562EC8">
        <w:rPr>
          <w:sz w:val="20"/>
          <w:szCs w:val="20"/>
        </w:rPr>
        <w:t>имечание: ПЭ - печеночная энцефалопатия; МНО - между</w:t>
      </w:r>
      <w:r>
        <w:rPr>
          <w:sz w:val="20"/>
          <w:szCs w:val="20"/>
        </w:rPr>
        <w:t>народное нормализованное отноше</w:t>
      </w:r>
      <w:r w:rsidRPr="00562EC8">
        <w:rPr>
          <w:sz w:val="20"/>
          <w:szCs w:val="20"/>
        </w:rPr>
        <w:t xml:space="preserve">ние; Д - </w:t>
      </w:r>
      <w:proofErr w:type="spellStart"/>
      <w:r w:rsidRPr="00562EC8">
        <w:rPr>
          <w:sz w:val="20"/>
          <w:szCs w:val="20"/>
        </w:rPr>
        <w:t>допамин</w:t>
      </w:r>
      <w:proofErr w:type="spellEnd"/>
      <w:r w:rsidRPr="00562EC8">
        <w:rPr>
          <w:sz w:val="20"/>
          <w:szCs w:val="20"/>
        </w:rPr>
        <w:t>; А - адреналин; НА - норадреналина (доза в мг/кг в минуту); РаО</w:t>
      </w:r>
      <w:proofErr w:type="gramStart"/>
      <w:r w:rsidRPr="00562EC8">
        <w:rPr>
          <w:sz w:val="20"/>
          <w:szCs w:val="20"/>
          <w:vertAlign w:val="subscript"/>
        </w:rPr>
        <w:t>2</w:t>
      </w:r>
      <w:proofErr w:type="gramEnd"/>
      <w:r w:rsidRPr="00562EC8">
        <w:rPr>
          <w:sz w:val="20"/>
          <w:szCs w:val="20"/>
        </w:rPr>
        <w:t xml:space="preserve"> - парциальное давление</w:t>
      </w:r>
      <w:r w:rsidR="00C45CBE" w:rsidRPr="00C45CBE">
        <w:rPr>
          <w:sz w:val="20"/>
          <w:szCs w:val="20"/>
        </w:rPr>
        <w:t xml:space="preserve"> </w:t>
      </w:r>
      <w:r w:rsidR="00C45CBE" w:rsidRPr="00562EC8">
        <w:rPr>
          <w:sz w:val="20"/>
          <w:szCs w:val="20"/>
        </w:rPr>
        <w:t xml:space="preserve">артериального кислорода; </w:t>
      </w:r>
      <w:proofErr w:type="spellStart"/>
      <w:r w:rsidR="00C45CBE" w:rsidRPr="00562EC8">
        <w:rPr>
          <w:sz w:val="20"/>
          <w:szCs w:val="20"/>
          <w:lang w:val="en-US" w:bidi="en-US"/>
        </w:rPr>
        <w:t>FiO</w:t>
      </w:r>
      <w:proofErr w:type="spellEnd"/>
      <w:r w:rsidR="00C45CBE" w:rsidRPr="00562EC8">
        <w:rPr>
          <w:sz w:val="20"/>
          <w:szCs w:val="20"/>
          <w:vertAlign w:val="subscript"/>
          <w:lang w:bidi="en-US"/>
        </w:rPr>
        <w:t>2</w:t>
      </w:r>
      <w:r w:rsidR="00C45CBE" w:rsidRPr="00562EC8">
        <w:rPr>
          <w:sz w:val="20"/>
          <w:szCs w:val="20"/>
          <w:lang w:bidi="en-US"/>
        </w:rPr>
        <w:t xml:space="preserve"> </w:t>
      </w:r>
      <w:r w:rsidR="00C45CBE" w:rsidRPr="00562EC8">
        <w:rPr>
          <w:sz w:val="20"/>
          <w:szCs w:val="20"/>
        </w:rPr>
        <w:t>-доля кислорода во вдыхаемом воздухе.</w:t>
      </w:r>
    </w:p>
    <w:p w:rsidR="00C45CBE" w:rsidRDefault="0054094B" w:rsidP="00FE1814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562EC8">
        <w:rPr>
          <w:sz w:val="20"/>
          <w:szCs w:val="20"/>
        </w:rPr>
        <w:t xml:space="preserve"> </w:t>
      </w:r>
    </w:p>
    <w:p w:rsidR="00FE1814" w:rsidRPr="008A47D4" w:rsidRDefault="00FE1814" w:rsidP="00C45CBE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A47D4">
        <w:rPr>
          <w:sz w:val="28"/>
          <w:szCs w:val="28"/>
        </w:rPr>
        <w:t xml:space="preserve">Шкала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SOFA</w:t>
      </w:r>
      <w:r w:rsidRPr="008A47D4">
        <w:rPr>
          <w:sz w:val="28"/>
          <w:szCs w:val="28"/>
          <w:lang w:bidi="en-US"/>
        </w:rPr>
        <w:t xml:space="preserve"> </w:t>
      </w:r>
      <w:r w:rsidR="0047462B" w:rsidRPr="008A47D4">
        <w:rPr>
          <w:sz w:val="28"/>
          <w:szCs w:val="28"/>
        </w:rPr>
        <w:t>состоит из 6 компо</w:t>
      </w:r>
      <w:r w:rsidRPr="008A47D4">
        <w:rPr>
          <w:sz w:val="28"/>
          <w:szCs w:val="28"/>
        </w:rPr>
        <w:t xml:space="preserve">нентов (функция печени, почек, головного мозга, коагуляции, циркуляции и легкие), каждый, из которой оценивается от 0 до 4 баллов. </w:t>
      </w:r>
      <w:r w:rsidR="008A47D4">
        <w:rPr>
          <w:sz w:val="28"/>
          <w:szCs w:val="28"/>
        </w:rPr>
        <w:t>Чем выше балл, тем более ухудше</w:t>
      </w:r>
      <w:r w:rsidRPr="008A47D4">
        <w:rPr>
          <w:sz w:val="28"/>
          <w:szCs w:val="28"/>
        </w:rPr>
        <w:t>ние функции органа. Суммарные оценки варьируются от 0 до 24 и дают информацию об общ</w:t>
      </w:r>
      <w:r w:rsidR="00311A18">
        <w:rPr>
          <w:sz w:val="28"/>
          <w:szCs w:val="28"/>
        </w:rPr>
        <w:t>ей тяжести состояние больного</w:t>
      </w:r>
      <w:r w:rsidR="00A63999">
        <w:rPr>
          <w:sz w:val="28"/>
          <w:szCs w:val="28"/>
        </w:rPr>
        <w:t xml:space="preserve"> (таблица 1)</w:t>
      </w:r>
      <w:r w:rsidRPr="008A47D4">
        <w:rPr>
          <w:sz w:val="28"/>
          <w:szCs w:val="28"/>
        </w:rPr>
        <w:t>:</w:t>
      </w:r>
    </w:p>
    <w:p w:rsidR="00FE1814" w:rsidRPr="008A47D4" w:rsidRDefault="0047462B" w:rsidP="0047462B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A47D4">
        <w:rPr>
          <w:sz w:val="28"/>
          <w:szCs w:val="28"/>
        </w:rPr>
        <w:t>Печеночная недостаточность опре</w:t>
      </w:r>
      <w:r w:rsidR="00FE1814" w:rsidRPr="008A47D4">
        <w:rPr>
          <w:sz w:val="28"/>
          <w:szCs w:val="28"/>
        </w:rPr>
        <w:t xml:space="preserve">деляется </w:t>
      </w:r>
      <w:r w:rsidRPr="008A47D4">
        <w:rPr>
          <w:sz w:val="28"/>
          <w:szCs w:val="28"/>
        </w:rPr>
        <w:t>при уровне сывороточного билиру</w:t>
      </w:r>
      <w:r w:rsidR="00FE1814" w:rsidRPr="008A47D4">
        <w:rPr>
          <w:sz w:val="28"/>
          <w:szCs w:val="28"/>
        </w:rPr>
        <w:t>бина &gt;12.0</w:t>
      </w:r>
      <w:r w:rsidRPr="008A47D4">
        <w:rPr>
          <w:sz w:val="28"/>
          <w:szCs w:val="28"/>
        </w:rPr>
        <w:t xml:space="preserve"> </w:t>
      </w:r>
      <w:r w:rsidR="00FE1814" w:rsidRPr="008A47D4">
        <w:rPr>
          <w:sz w:val="28"/>
          <w:szCs w:val="28"/>
        </w:rPr>
        <w:t>мг/</w:t>
      </w:r>
      <w:proofErr w:type="spellStart"/>
      <w:r w:rsidR="00FE1814" w:rsidRPr="008A47D4">
        <w:rPr>
          <w:sz w:val="28"/>
          <w:szCs w:val="28"/>
        </w:rPr>
        <w:t>дл</w:t>
      </w:r>
      <w:proofErr w:type="spellEnd"/>
      <w:r w:rsidR="00FE1814" w:rsidRPr="008A47D4">
        <w:rPr>
          <w:sz w:val="28"/>
          <w:szCs w:val="28"/>
        </w:rPr>
        <w:t xml:space="preserve"> (205,2 </w:t>
      </w:r>
      <w:proofErr w:type="spellStart"/>
      <w:r w:rsidR="00FE1814" w:rsidRPr="008A47D4">
        <w:rPr>
          <w:sz w:val="28"/>
          <w:szCs w:val="28"/>
        </w:rPr>
        <w:t>ммоль</w:t>
      </w:r>
      <w:proofErr w:type="spellEnd"/>
      <w:r w:rsidR="00FE1814" w:rsidRPr="008A47D4">
        <w:rPr>
          <w:sz w:val="28"/>
          <w:szCs w:val="28"/>
        </w:rPr>
        <w:t>/л), а согласно показател</w:t>
      </w:r>
      <w:r w:rsidRPr="008A47D4">
        <w:rPr>
          <w:sz w:val="28"/>
          <w:szCs w:val="28"/>
        </w:rPr>
        <w:t>ям Азиатского консенсуса при со</w:t>
      </w:r>
      <w:r w:rsidR="00FE1814" w:rsidRPr="008A47D4">
        <w:rPr>
          <w:sz w:val="28"/>
          <w:szCs w:val="28"/>
        </w:rPr>
        <w:t>держании билирубина &gt;</w:t>
      </w:r>
      <w:r w:rsidRPr="008A47D4">
        <w:rPr>
          <w:sz w:val="28"/>
          <w:szCs w:val="28"/>
        </w:rPr>
        <w:t xml:space="preserve"> </w:t>
      </w:r>
      <w:r w:rsidR="00FE1814" w:rsidRPr="008A47D4">
        <w:rPr>
          <w:sz w:val="28"/>
          <w:szCs w:val="28"/>
        </w:rPr>
        <w:t>86 ммоль/л.</w:t>
      </w:r>
    </w:p>
    <w:p w:rsidR="00FE1814" w:rsidRPr="008A47D4" w:rsidRDefault="0047462B" w:rsidP="0047462B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A47D4">
        <w:rPr>
          <w:sz w:val="28"/>
          <w:szCs w:val="28"/>
        </w:rPr>
        <w:t>Почечная недостаточность опреде</w:t>
      </w:r>
      <w:r w:rsidR="00FE1814" w:rsidRPr="008A47D4">
        <w:rPr>
          <w:sz w:val="28"/>
          <w:szCs w:val="28"/>
        </w:rPr>
        <w:t xml:space="preserve">лена при уровне сывороточного </w:t>
      </w:r>
      <w:proofErr w:type="spellStart"/>
      <w:r w:rsidR="00FE1814" w:rsidRPr="008A47D4">
        <w:rPr>
          <w:sz w:val="28"/>
          <w:szCs w:val="28"/>
        </w:rPr>
        <w:t>креатинина</w:t>
      </w:r>
      <w:proofErr w:type="spellEnd"/>
      <w:r w:rsidR="00FE1814" w:rsidRPr="008A47D4">
        <w:rPr>
          <w:sz w:val="28"/>
          <w:szCs w:val="28"/>
        </w:rPr>
        <w:t xml:space="preserve"> &gt;2.0</w:t>
      </w:r>
      <w:r w:rsidR="00EB2805">
        <w:rPr>
          <w:sz w:val="28"/>
          <w:szCs w:val="28"/>
        </w:rPr>
        <w:t xml:space="preserve"> </w:t>
      </w:r>
      <w:r w:rsidR="00FE1814" w:rsidRPr="008A47D4">
        <w:rPr>
          <w:sz w:val="28"/>
          <w:szCs w:val="28"/>
        </w:rPr>
        <w:t>мг/</w:t>
      </w:r>
      <w:proofErr w:type="spellStart"/>
      <w:r w:rsidR="00FE1814" w:rsidRPr="008A47D4">
        <w:rPr>
          <w:sz w:val="28"/>
          <w:szCs w:val="28"/>
        </w:rPr>
        <w:t>дл</w:t>
      </w:r>
      <w:proofErr w:type="spellEnd"/>
      <w:r w:rsidR="00FE1814" w:rsidRPr="008A47D4">
        <w:rPr>
          <w:sz w:val="28"/>
          <w:szCs w:val="28"/>
        </w:rPr>
        <w:t xml:space="preserve"> (176 </w:t>
      </w:r>
      <w:proofErr w:type="spellStart"/>
      <w:r w:rsidR="00FE1814" w:rsidRPr="008A47D4">
        <w:rPr>
          <w:sz w:val="28"/>
          <w:szCs w:val="28"/>
        </w:rPr>
        <w:t>ммоль</w:t>
      </w:r>
      <w:proofErr w:type="spellEnd"/>
      <w:r w:rsidR="00FE1814" w:rsidRPr="008A47D4">
        <w:rPr>
          <w:sz w:val="28"/>
          <w:szCs w:val="28"/>
        </w:rPr>
        <w:t>/л) или использования замещающей почечной терапии.</w:t>
      </w:r>
    </w:p>
    <w:p w:rsidR="00FE1814" w:rsidRPr="008A47D4" w:rsidRDefault="0047462B" w:rsidP="0047462B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A47D4">
        <w:rPr>
          <w:sz w:val="28"/>
          <w:szCs w:val="28"/>
        </w:rPr>
        <w:t>Мозговая недостаточность диагно</w:t>
      </w:r>
      <w:r w:rsidR="00FE1814" w:rsidRPr="008A47D4">
        <w:rPr>
          <w:sz w:val="28"/>
          <w:szCs w:val="28"/>
        </w:rPr>
        <w:t>стируетс</w:t>
      </w:r>
      <w:r w:rsidR="00311A18">
        <w:rPr>
          <w:sz w:val="28"/>
          <w:szCs w:val="28"/>
        </w:rPr>
        <w:t xml:space="preserve">я при наличии </w:t>
      </w:r>
      <w:r w:rsidR="00311A18">
        <w:rPr>
          <w:sz w:val="28"/>
          <w:szCs w:val="28"/>
        </w:rPr>
        <w:lastRenderedPageBreak/>
        <w:t>печеночной энцефа</w:t>
      </w:r>
      <w:r w:rsidR="00FE1814" w:rsidRPr="008A47D4">
        <w:rPr>
          <w:sz w:val="28"/>
          <w:szCs w:val="28"/>
        </w:rPr>
        <w:t>лопатии I</w:t>
      </w:r>
      <w:r w:rsidRPr="008A47D4">
        <w:rPr>
          <w:sz w:val="28"/>
          <w:szCs w:val="28"/>
        </w:rPr>
        <w:t>II или IV степени по классифика</w:t>
      </w:r>
      <w:r w:rsidR="00FE1814" w:rsidRPr="008A47D4">
        <w:rPr>
          <w:sz w:val="28"/>
          <w:szCs w:val="28"/>
        </w:rPr>
        <w:t xml:space="preserve">ции </w:t>
      </w:r>
      <w:r w:rsidR="00FE1814" w:rsidRPr="008A47D4">
        <w:rPr>
          <w:sz w:val="28"/>
          <w:szCs w:val="28"/>
          <w:lang w:val="en-US" w:bidi="en-US"/>
        </w:rPr>
        <w:t>West</w:t>
      </w:r>
      <w:r w:rsidR="00FE1814" w:rsidRPr="008A47D4">
        <w:rPr>
          <w:sz w:val="28"/>
          <w:szCs w:val="28"/>
          <w:lang w:bidi="en-US"/>
        </w:rPr>
        <w:t xml:space="preserve"> </w:t>
      </w:r>
      <w:r w:rsidR="00FE1814" w:rsidRPr="008A47D4">
        <w:rPr>
          <w:sz w:val="28"/>
          <w:szCs w:val="28"/>
          <w:lang w:val="en-US" w:bidi="en-US"/>
        </w:rPr>
        <w:t>Haven</w:t>
      </w:r>
      <w:r w:rsidR="00FE1814" w:rsidRPr="008A47D4">
        <w:rPr>
          <w:sz w:val="28"/>
          <w:szCs w:val="28"/>
          <w:lang w:bidi="en-US"/>
        </w:rPr>
        <w:t>.</w:t>
      </w:r>
    </w:p>
    <w:p w:rsidR="00FE1814" w:rsidRPr="008A47D4" w:rsidRDefault="00FE1814" w:rsidP="0047462B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A47D4">
        <w:rPr>
          <w:sz w:val="28"/>
          <w:szCs w:val="28"/>
        </w:rPr>
        <w:t>Недостаточ</w:t>
      </w:r>
      <w:r w:rsidR="0047462B" w:rsidRPr="008A47D4">
        <w:rPr>
          <w:sz w:val="28"/>
          <w:szCs w:val="28"/>
        </w:rPr>
        <w:t>ность коагуляции опре</w:t>
      </w:r>
      <w:r w:rsidRPr="008A47D4">
        <w:rPr>
          <w:sz w:val="28"/>
          <w:szCs w:val="28"/>
        </w:rPr>
        <w:t>деляется при уровне международного нормализованного отношения (МНО) более 2,5 или коли</w:t>
      </w:r>
      <w:r w:rsidR="0047462B" w:rsidRPr="008A47D4">
        <w:rPr>
          <w:sz w:val="28"/>
          <w:szCs w:val="28"/>
        </w:rPr>
        <w:t>чество тромбоцитов ровно или менее 20х</w:t>
      </w:r>
      <w:r w:rsidRPr="008A47D4">
        <w:rPr>
          <w:sz w:val="28"/>
          <w:szCs w:val="28"/>
        </w:rPr>
        <w:t>10</w:t>
      </w:r>
      <w:r w:rsidRPr="008A47D4">
        <w:rPr>
          <w:sz w:val="28"/>
          <w:szCs w:val="28"/>
          <w:vertAlign w:val="superscript"/>
        </w:rPr>
        <w:t>9</w:t>
      </w:r>
      <w:r w:rsidR="00AC03B6" w:rsidRPr="008A47D4">
        <w:rPr>
          <w:sz w:val="28"/>
          <w:szCs w:val="28"/>
        </w:rPr>
        <w:t>/л. Азиатско-Тихоокеанская ассо</w:t>
      </w:r>
      <w:r w:rsidRPr="008A47D4">
        <w:rPr>
          <w:sz w:val="28"/>
          <w:szCs w:val="28"/>
        </w:rPr>
        <w:t xml:space="preserve">циация по изучению печени </w:t>
      </w:r>
      <w:r w:rsidRPr="008A47D4">
        <w:rPr>
          <w:sz w:val="28"/>
          <w:szCs w:val="28"/>
          <w:lang w:bidi="en-US"/>
        </w:rPr>
        <w:t>(</w:t>
      </w:r>
      <w:r w:rsidRPr="008A47D4">
        <w:rPr>
          <w:sz w:val="28"/>
          <w:szCs w:val="28"/>
          <w:lang w:val="en-US" w:bidi="en-US"/>
        </w:rPr>
        <w:t>APASL</w:t>
      </w:r>
      <w:r w:rsidRPr="008A47D4">
        <w:rPr>
          <w:sz w:val="28"/>
          <w:szCs w:val="28"/>
          <w:lang w:bidi="en-US"/>
        </w:rPr>
        <w:t xml:space="preserve">) </w:t>
      </w:r>
      <w:r w:rsidR="00EB2805">
        <w:rPr>
          <w:sz w:val="28"/>
          <w:szCs w:val="28"/>
        </w:rPr>
        <w:t>пред</w:t>
      </w:r>
      <w:r w:rsidRPr="008A47D4">
        <w:rPr>
          <w:sz w:val="28"/>
          <w:szCs w:val="28"/>
        </w:rPr>
        <w:t>лагает недостаточность свертываемости при МНО &gt;1,5 или протромбиновый индекс &lt;40%.</w:t>
      </w:r>
    </w:p>
    <w:p w:rsidR="00FE1814" w:rsidRPr="008A47D4" w:rsidRDefault="00FE1814" w:rsidP="0047462B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A47D4">
        <w:rPr>
          <w:sz w:val="28"/>
          <w:szCs w:val="28"/>
        </w:rPr>
        <w:t>Недостаточность кровообращения диагности</w:t>
      </w:r>
      <w:r w:rsidR="0047462B" w:rsidRPr="008A47D4">
        <w:rPr>
          <w:sz w:val="28"/>
          <w:szCs w:val="28"/>
        </w:rPr>
        <w:t>руется, когда среднее артериаль</w:t>
      </w:r>
      <w:r w:rsidR="00EB2805">
        <w:rPr>
          <w:sz w:val="28"/>
          <w:szCs w:val="28"/>
        </w:rPr>
        <w:t>ное давление менее 70 мм</w:t>
      </w:r>
      <w:proofErr w:type="gramStart"/>
      <w:r w:rsidR="00EB2805">
        <w:rPr>
          <w:sz w:val="28"/>
          <w:szCs w:val="28"/>
        </w:rPr>
        <w:t>.</w:t>
      </w:r>
      <w:r w:rsidRPr="008A47D4">
        <w:rPr>
          <w:sz w:val="28"/>
          <w:szCs w:val="28"/>
        </w:rPr>
        <w:t>р</w:t>
      </w:r>
      <w:proofErr w:type="gramEnd"/>
      <w:r w:rsidRPr="008A47D4">
        <w:rPr>
          <w:sz w:val="28"/>
          <w:szCs w:val="28"/>
        </w:rPr>
        <w:t>т.ст. или имеется необходим</w:t>
      </w:r>
      <w:r w:rsidR="0047462B" w:rsidRPr="008A47D4">
        <w:rPr>
          <w:sz w:val="28"/>
          <w:szCs w:val="28"/>
        </w:rPr>
        <w:t>ость использования вазоконстрик</w:t>
      </w:r>
      <w:r w:rsidRPr="008A47D4">
        <w:rPr>
          <w:sz w:val="28"/>
          <w:szCs w:val="28"/>
        </w:rPr>
        <w:t>торов (до</w:t>
      </w:r>
      <w:r w:rsidR="0047462B" w:rsidRPr="008A47D4">
        <w:rPr>
          <w:sz w:val="28"/>
          <w:szCs w:val="28"/>
        </w:rPr>
        <w:t>памин, добутаминил и терлипрес</w:t>
      </w:r>
      <w:r w:rsidRPr="008A47D4">
        <w:rPr>
          <w:sz w:val="28"/>
          <w:szCs w:val="28"/>
        </w:rPr>
        <w:t>син).</w:t>
      </w:r>
    </w:p>
    <w:p w:rsidR="00FE1814" w:rsidRPr="008A47D4" w:rsidRDefault="00FE1814" w:rsidP="0047462B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A47D4">
        <w:rPr>
          <w:sz w:val="28"/>
          <w:szCs w:val="28"/>
        </w:rPr>
        <w:t>Д</w:t>
      </w:r>
      <w:r w:rsidR="0047462B" w:rsidRPr="008A47D4">
        <w:rPr>
          <w:sz w:val="28"/>
          <w:szCs w:val="28"/>
        </w:rPr>
        <w:t>ыхательная недостаточность опре</w:t>
      </w:r>
      <w:r w:rsidRPr="008A47D4">
        <w:rPr>
          <w:sz w:val="28"/>
          <w:szCs w:val="28"/>
        </w:rPr>
        <w:t>деляется при соотношении парциального давления артериального кислорода к доле кислорода во вдыхаемом воздухе равно или менее 200.</w:t>
      </w:r>
    </w:p>
    <w:p w:rsidR="006B3CBE" w:rsidRPr="008A47D4" w:rsidRDefault="00CE3184" w:rsidP="006B3CBE">
      <w:pPr>
        <w:pStyle w:val="20"/>
        <w:shd w:val="clear" w:color="auto" w:fill="auto"/>
        <w:tabs>
          <w:tab w:val="left" w:pos="281"/>
        </w:tabs>
        <w:spacing w:before="0" w:line="240" w:lineRule="auto"/>
        <w:ind w:firstLine="709"/>
        <w:rPr>
          <w:sz w:val="28"/>
          <w:szCs w:val="28"/>
        </w:rPr>
      </w:pPr>
      <w:r w:rsidRPr="008A47D4">
        <w:rPr>
          <w:sz w:val="28"/>
          <w:szCs w:val="28"/>
        </w:rPr>
        <w:t>Под относительн</w:t>
      </w:r>
      <w:r w:rsidR="00414152" w:rsidRPr="008A47D4">
        <w:rPr>
          <w:sz w:val="28"/>
          <w:szCs w:val="28"/>
        </w:rPr>
        <w:t>о высокой ранней смертностью по</w:t>
      </w:r>
      <w:r w:rsidRPr="008A47D4">
        <w:rPr>
          <w:sz w:val="28"/>
          <w:szCs w:val="28"/>
        </w:rPr>
        <w:t>нималась смертность 15 % и выше в период 28 дней. Эта цифра соответствует 50%-й ранней смертности, связанной с тяжелым сепси</w:t>
      </w:r>
      <w:r w:rsidR="006B3CBE" w:rsidRPr="008A47D4">
        <w:rPr>
          <w:sz w:val="28"/>
          <w:szCs w:val="28"/>
        </w:rPr>
        <w:t>сом среди населения в целом</w:t>
      </w:r>
      <w:r w:rsidRPr="008A47D4">
        <w:rPr>
          <w:sz w:val="28"/>
          <w:szCs w:val="28"/>
        </w:rPr>
        <w:t>. Включение порога ранн</w:t>
      </w:r>
      <w:r w:rsidR="006B3CBE" w:rsidRPr="008A47D4">
        <w:rPr>
          <w:sz w:val="28"/>
          <w:szCs w:val="28"/>
        </w:rPr>
        <w:t>ей смертности в определение ОХП</w:t>
      </w:r>
      <w:r w:rsidRPr="008A47D4">
        <w:rPr>
          <w:sz w:val="28"/>
          <w:szCs w:val="28"/>
        </w:rPr>
        <w:t>Н</w:t>
      </w:r>
      <w:r w:rsidR="00450B1B" w:rsidRPr="008A47D4">
        <w:rPr>
          <w:sz w:val="28"/>
          <w:szCs w:val="28"/>
        </w:rPr>
        <w:t xml:space="preserve"> сочли важным, поскольку он име</w:t>
      </w:r>
      <w:r w:rsidRPr="008A47D4">
        <w:rPr>
          <w:sz w:val="28"/>
          <w:szCs w:val="28"/>
        </w:rPr>
        <w:t xml:space="preserve">ет большое терапевтическое значение. </w:t>
      </w:r>
    </w:p>
    <w:p w:rsidR="00CE3184" w:rsidRPr="008A47D4" w:rsidRDefault="00E71E17" w:rsidP="006B3CBE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A47D4">
        <w:rPr>
          <w:sz w:val="28"/>
          <w:szCs w:val="28"/>
        </w:rPr>
        <w:t>Опираясь на наличие ОН, нару</w:t>
      </w:r>
      <w:r w:rsidR="00CE3184" w:rsidRPr="008A47D4">
        <w:rPr>
          <w:sz w:val="28"/>
          <w:szCs w:val="28"/>
        </w:rPr>
        <w:t>шение функции по</w:t>
      </w:r>
      <w:r w:rsidRPr="008A47D4">
        <w:rPr>
          <w:sz w:val="28"/>
          <w:szCs w:val="28"/>
        </w:rPr>
        <w:t>чек и/или головного мозга и раннюю смертность, в диагноз ОХП</w:t>
      </w:r>
      <w:r w:rsidR="00CE3184" w:rsidRPr="008A47D4">
        <w:rPr>
          <w:sz w:val="28"/>
          <w:szCs w:val="28"/>
        </w:rPr>
        <w:t xml:space="preserve">Н были </w:t>
      </w:r>
      <w:proofErr w:type="gramStart"/>
      <w:r w:rsidR="00CE3184" w:rsidRPr="008A47D4">
        <w:rPr>
          <w:sz w:val="28"/>
          <w:szCs w:val="28"/>
        </w:rPr>
        <w:t>включены</w:t>
      </w:r>
      <w:proofErr w:type="gramEnd"/>
      <w:r w:rsidR="00CE3184" w:rsidRPr="008A47D4">
        <w:rPr>
          <w:sz w:val="28"/>
          <w:szCs w:val="28"/>
        </w:rPr>
        <w:t>/ исключены следующие критерии:</w:t>
      </w:r>
    </w:p>
    <w:p w:rsidR="00CE3184" w:rsidRPr="008A47D4" w:rsidRDefault="00CE3184" w:rsidP="00E71E17">
      <w:pPr>
        <w:pStyle w:val="20"/>
        <w:numPr>
          <w:ilvl w:val="0"/>
          <w:numId w:val="4"/>
        </w:numPr>
        <w:shd w:val="clear" w:color="auto" w:fill="auto"/>
        <w:tabs>
          <w:tab w:val="left" w:pos="598"/>
        </w:tabs>
        <w:spacing w:before="0" w:line="240" w:lineRule="auto"/>
        <w:ind w:left="0" w:firstLine="709"/>
        <w:rPr>
          <w:sz w:val="28"/>
          <w:szCs w:val="28"/>
        </w:rPr>
      </w:pPr>
      <w:r w:rsidRPr="008A47D4">
        <w:rPr>
          <w:sz w:val="28"/>
          <w:szCs w:val="28"/>
        </w:rPr>
        <w:t>исключены: а) отсутствие ОН; б) недостаточность одного органа, к</w:t>
      </w:r>
      <w:r w:rsidR="00E71E17" w:rsidRPr="008A47D4">
        <w:rPr>
          <w:sz w:val="28"/>
          <w:szCs w:val="28"/>
        </w:rPr>
        <w:t>роме почек, с уровнем сывороточ</w:t>
      </w:r>
      <w:r w:rsidRPr="008A47D4">
        <w:rPr>
          <w:sz w:val="28"/>
          <w:szCs w:val="28"/>
        </w:rPr>
        <w:t>ного креатинина&lt; 1,5 мг/дл и отсутствием ПЭ;</w:t>
      </w:r>
    </w:p>
    <w:p w:rsidR="00CE3184" w:rsidRPr="008A47D4" w:rsidRDefault="00CE3184" w:rsidP="00E71E17">
      <w:pPr>
        <w:pStyle w:val="20"/>
        <w:numPr>
          <w:ilvl w:val="0"/>
          <w:numId w:val="4"/>
        </w:numPr>
        <w:shd w:val="clear" w:color="auto" w:fill="auto"/>
        <w:tabs>
          <w:tab w:val="left" w:pos="604"/>
        </w:tabs>
        <w:spacing w:before="0" w:line="240" w:lineRule="auto"/>
        <w:ind w:left="0" w:firstLine="709"/>
        <w:rPr>
          <w:sz w:val="28"/>
          <w:szCs w:val="28"/>
        </w:rPr>
      </w:pPr>
      <w:r w:rsidRPr="008A47D4">
        <w:rPr>
          <w:sz w:val="28"/>
          <w:szCs w:val="28"/>
        </w:rPr>
        <w:t xml:space="preserve">включены: а) недостаточность только функции почек; б) недостаточность одного органа, кроме почек, + нарушение функции почек и/или ПЭ </w:t>
      </w:r>
      <w:proofErr w:type="gramStart"/>
      <w:r w:rsidRPr="008A47D4">
        <w:rPr>
          <w:sz w:val="28"/>
          <w:szCs w:val="28"/>
          <w:lang w:val="en-US" w:bidi="en-US"/>
        </w:rPr>
        <w:t>I</w:t>
      </w:r>
      <w:proofErr w:type="gramEnd"/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II</w:t>
      </w:r>
      <w:r w:rsidRPr="008A47D4">
        <w:rPr>
          <w:sz w:val="28"/>
          <w:szCs w:val="28"/>
        </w:rPr>
        <w:t>степени; в) недостаточность 2 органов и более.</w:t>
      </w:r>
    </w:p>
    <w:p w:rsidR="00CE3184" w:rsidRPr="008A47D4" w:rsidRDefault="00CE3184" w:rsidP="006B3CBE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A47D4">
        <w:rPr>
          <w:sz w:val="28"/>
          <w:szCs w:val="28"/>
        </w:rPr>
        <w:t>Таким образом</w:t>
      </w:r>
      <w:r w:rsidR="00FC54FE" w:rsidRPr="008A47D4">
        <w:rPr>
          <w:sz w:val="28"/>
          <w:szCs w:val="28"/>
        </w:rPr>
        <w:t>, тяжесть ОХП</w:t>
      </w:r>
      <w:r w:rsidR="00E71E17" w:rsidRPr="008A47D4">
        <w:rPr>
          <w:sz w:val="28"/>
          <w:szCs w:val="28"/>
        </w:rPr>
        <w:t>Н определялась ко</w:t>
      </w:r>
      <w:r w:rsidRPr="008A47D4">
        <w:rPr>
          <w:sz w:val="28"/>
          <w:szCs w:val="28"/>
        </w:rPr>
        <w:t>личеством отказавших органо</w:t>
      </w:r>
      <w:r w:rsidR="00E71E17" w:rsidRPr="008A47D4">
        <w:rPr>
          <w:sz w:val="28"/>
          <w:szCs w:val="28"/>
        </w:rPr>
        <w:t>в: ОХП</w:t>
      </w:r>
      <w:r w:rsidRPr="008A47D4">
        <w:rPr>
          <w:sz w:val="28"/>
          <w:szCs w:val="28"/>
        </w:rPr>
        <w:t>Н-1 — 1 орган;</w:t>
      </w:r>
      <w:r w:rsidR="00E71E17" w:rsidRPr="008A47D4">
        <w:rPr>
          <w:sz w:val="28"/>
          <w:szCs w:val="28"/>
        </w:rPr>
        <w:t xml:space="preserve"> ОХПН-2 — 2 органа; ОХП</w:t>
      </w:r>
      <w:r w:rsidRPr="008A47D4">
        <w:rPr>
          <w:sz w:val="28"/>
          <w:szCs w:val="28"/>
        </w:rPr>
        <w:t>Н-3 — 3-6 органов.</w:t>
      </w:r>
    </w:p>
    <w:p w:rsidR="00CC5159" w:rsidRDefault="00CC5159" w:rsidP="00A9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proofErr w:type="gramStart"/>
      <w:r w:rsidRPr="008A47D4">
        <w:rPr>
          <w:rFonts w:ascii="Times New Roman" w:eastAsia="PragmaticaBook-Reg" w:hAnsi="Times New Roman" w:cs="Times New Roman"/>
          <w:sz w:val="28"/>
          <w:szCs w:val="28"/>
        </w:rPr>
        <w:t>Шкала CLIF-SOFA и ее упрощенная версия CLIF-C</w:t>
      </w:r>
      <w:r w:rsidR="00A97C20" w:rsidRPr="008A47D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OF</w:t>
      </w:r>
      <w:r w:rsidR="0089238D">
        <w:rPr>
          <w:rFonts w:ascii="Times New Roman" w:eastAsia="PragmaticaBook-Reg" w:hAnsi="Times New Roman" w:cs="Times New Roman"/>
          <w:sz w:val="28"/>
          <w:szCs w:val="28"/>
        </w:rPr>
        <w:t xml:space="preserve"> (шкала органной недостаточности)</w:t>
      </w:r>
      <w:r w:rsidR="00EB2805">
        <w:rPr>
          <w:rFonts w:ascii="Times New Roman" w:eastAsia="PragmaticaBook-Reg" w:hAnsi="Times New Roman" w:cs="Times New Roman"/>
          <w:sz w:val="28"/>
          <w:szCs w:val="28"/>
        </w:rPr>
        <w:t xml:space="preserve"> (таблица 2)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, основанные на стратификации по функции 6 органов и систем (печень, почки, головной мозг, система свертывания, кровообращение и дыхание) с 5</w:t>
      </w:r>
      <w:r w:rsidR="00A97C20" w:rsidRPr="008A47D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(0–4) и 3 (1–3) под</w:t>
      </w:r>
      <w:r w:rsidR="00A97C20" w:rsidRPr="008A47D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оценками соответственно (общая</w:t>
      </w:r>
      <w:r w:rsidR="00A97C20" w:rsidRPr="008A47D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оценка 0–24 и 3–9 соответственно) были разработаны для диагностики органной недостаточности у пациентов с острой декомпенсацией цирроза печени.</w:t>
      </w:r>
      <w:proofErr w:type="gramEnd"/>
    </w:p>
    <w:p w:rsidR="00A605EB" w:rsidRDefault="00A605EB">
      <w:pPr>
        <w:rPr>
          <w:rFonts w:ascii="Times New Roman" w:eastAsia="PragmaticaBook-Reg" w:hAnsi="Times New Roman" w:cs="Times New Roman"/>
          <w:sz w:val="28"/>
          <w:szCs w:val="28"/>
        </w:rPr>
      </w:pPr>
      <w:r>
        <w:rPr>
          <w:rFonts w:ascii="Times New Roman" w:eastAsia="PragmaticaBook-Reg" w:hAnsi="Times New Roman" w:cs="Times New Roman"/>
          <w:sz w:val="28"/>
          <w:szCs w:val="28"/>
        </w:rPr>
        <w:br w:type="page"/>
      </w:r>
    </w:p>
    <w:p w:rsidR="00C45CBE" w:rsidRPr="0054094B" w:rsidRDefault="00C45CBE" w:rsidP="00C45CBE">
      <w:pPr>
        <w:pStyle w:val="a6"/>
        <w:shd w:val="clear" w:color="auto" w:fill="auto"/>
        <w:spacing w:after="200" w:line="240" w:lineRule="auto"/>
        <w:ind w:firstLine="709"/>
        <w:jc w:val="both"/>
        <w:rPr>
          <w:sz w:val="28"/>
          <w:szCs w:val="28"/>
        </w:rPr>
      </w:pPr>
      <w:r w:rsidRPr="0054094B">
        <w:rPr>
          <w:sz w:val="28"/>
          <w:szCs w:val="28"/>
        </w:rPr>
        <w:lastRenderedPageBreak/>
        <w:t xml:space="preserve">Таблица 2. Оценка ОХПН по шкале </w:t>
      </w:r>
      <w:r w:rsidRPr="0054094B">
        <w:rPr>
          <w:sz w:val="28"/>
          <w:szCs w:val="28"/>
          <w:lang w:val="en-US" w:bidi="en-US"/>
        </w:rPr>
        <w:t>CLIF</w:t>
      </w:r>
      <w:r w:rsidRPr="0054094B">
        <w:rPr>
          <w:sz w:val="28"/>
          <w:szCs w:val="28"/>
          <w:lang w:bidi="en-US"/>
        </w:rPr>
        <w:t>-</w:t>
      </w:r>
      <w:r w:rsidRPr="0054094B">
        <w:rPr>
          <w:sz w:val="28"/>
          <w:szCs w:val="28"/>
          <w:lang w:val="en-US" w:bidi="en-US"/>
        </w:rPr>
        <w:t>C</w:t>
      </w:r>
      <w:r w:rsidRPr="0054094B">
        <w:rPr>
          <w:sz w:val="28"/>
          <w:szCs w:val="28"/>
          <w:lang w:bidi="en-US"/>
        </w:rPr>
        <w:t xml:space="preserve"> </w:t>
      </w:r>
      <w:r w:rsidRPr="0054094B">
        <w:rPr>
          <w:sz w:val="28"/>
          <w:szCs w:val="28"/>
          <w:lang w:val="en-US" w:bidi="en-US"/>
        </w:rPr>
        <w:t>OF</w:t>
      </w:r>
      <w:r w:rsidRPr="0054094B">
        <w:rPr>
          <w:sz w:val="28"/>
          <w:szCs w:val="28"/>
          <w:lang w:bidi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9"/>
        <w:gridCol w:w="1225"/>
        <w:gridCol w:w="1380"/>
        <w:gridCol w:w="1713"/>
      </w:tblGrid>
      <w:tr w:rsidR="00C45CBE" w:rsidRPr="00AC03B6" w:rsidTr="00895868">
        <w:trPr>
          <w:trHeight w:hRule="exact" w:val="265"/>
        </w:trPr>
        <w:tc>
          <w:tcPr>
            <w:tcW w:w="0" w:type="auto"/>
            <w:shd w:val="clear" w:color="auto" w:fill="FFFFFF"/>
          </w:tcPr>
          <w:p w:rsidR="00C45CBE" w:rsidRPr="00AC03B6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AC03B6">
              <w:rPr>
                <w:rStyle w:val="28pt"/>
                <w:b/>
                <w:sz w:val="24"/>
                <w:szCs w:val="24"/>
              </w:rPr>
              <w:t>Система органов</w:t>
            </w:r>
          </w:p>
        </w:tc>
        <w:tc>
          <w:tcPr>
            <w:tcW w:w="0" w:type="auto"/>
            <w:shd w:val="clear" w:color="auto" w:fill="FFFFFF"/>
          </w:tcPr>
          <w:p w:rsidR="00C45CBE" w:rsidRPr="00AC03B6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C03B6">
              <w:rPr>
                <w:rStyle w:val="28pt"/>
                <w:b/>
                <w:sz w:val="24"/>
                <w:szCs w:val="24"/>
              </w:rPr>
              <w:t>Оценка = 1</w:t>
            </w:r>
          </w:p>
        </w:tc>
        <w:tc>
          <w:tcPr>
            <w:tcW w:w="0" w:type="auto"/>
            <w:shd w:val="clear" w:color="auto" w:fill="FFFFFF"/>
          </w:tcPr>
          <w:p w:rsidR="00C45CBE" w:rsidRPr="00AC03B6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C03B6">
              <w:rPr>
                <w:rStyle w:val="28pt"/>
                <w:b/>
                <w:sz w:val="24"/>
                <w:szCs w:val="24"/>
              </w:rPr>
              <w:t>Оценка = 2</w:t>
            </w:r>
          </w:p>
        </w:tc>
        <w:tc>
          <w:tcPr>
            <w:tcW w:w="0" w:type="auto"/>
            <w:shd w:val="clear" w:color="auto" w:fill="FFFFFF"/>
          </w:tcPr>
          <w:p w:rsidR="00C45CBE" w:rsidRPr="00AC03B6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C03B6">
              <w:rPr>
                <w:rStyle w:val="28pt"/>
                <w:b/>
                <w:sz w:val="24"/>
                <w:szCs w:val="24"/>
              </w:rPr>
              <w:t>Оценка = 3</w:t>
            </w:r>
          </w:p>
        </w:tc>
      </w:tr>
      <w:tr w:rsidR="00C45CBE" w:rsidRPr="0067531C" w:rsidTr="00895868">
        <w:trPr>
          <w:trHeight w:hRule="exact" w:val="286"/>
        </w:trPr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Печень, билирубин, мг/дл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&lt; 6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6-12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&gt; 12</w:t>
            </w:r>
          </w:p>
        </w:tc>
      </w:tr>
      <w:tr w:rsidR="00C45CBE" w:rsidRPr="0067531C" w:rsidTr="00895868">
        <w:trPr>
          <w:trHeight w:hRule="exact" w:val="322"/>
        </w:trPr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 xml:space="preserve">Почки, </w:t>
            </w:r>
            <w:proofErr w:type="spellStart"/>
            <w:r w:rsidRPr="0067531C">
              <w:rPr>
                <w:rStyle w:val="28pt"/>
                <w:sz w:val="24"/>
                <w:szCs w:val="24"/>
              </w:rPr>
              <w:t>креатинин</w:t>
            </w:r>
            <w:proofErr w:type="spellEnd"/>
            <w:r w:rsidRPr="0067531C">
              <w:rPr>
                <w:rStyle w:val="28pt"/>
                <w:sz w:val="24"/>
                <w:szCs w:val="24"/>
              </w:rPr>
              <w:t>, мг/</w:t>
            </w:r>
            <w:proofErr w:type="spellStart"/>
            <w:r w:rsidRPr="0067531C">
              <w:rPr>
                <w:rStyle w:val="28pt"/>
                <w:sz w:val="24"/>
                <w:szCs w:val="24"/>
              </w:rPr>
              <w:t>дл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&lt; 2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2-3,5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&gt; 3,5 или диализ</w:t>
            </w:r>
          </w:p>
        </w:tc>
      </w:tr>
      <w:tr w:rsidR="00C45CBE" w:rsidRPr="0067531C" w:rsidTr="00895868">
        <w:trPr>
          <w:trHeight w:hRule="exact" w:val="367"/>
        </w:trPr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Головной мозг, степень (критерии Уэст-</w:t>
            </w:r>
            <w:proofErr w:type="spellStart"/>
            <w:r w:rsidRPr="0067531C">
              <w:rPr>
                <w:rStyle w:val="28pt"/>
                <w:sz w:val="24"/>
                <w:szCs w:val="24"/>
              </w:rPr>
              <w:t>Хейвен</w:t>
            </w:r>
            <w:proofErr w:type="spellEnd"/>
            <w:r w:rsidRPr="0067531C">
              <w:rPr>
                <w:rStyle w:val="28pt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1-2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3-4</w:t>
            </w:r>
          </w:p>
        </w:tc>
      </w:tr>
      <w:tr w:rsidR="00C45CBE" w:rsidRPr="0067531C" w:rsidTr="00895868">
        <w:trPr>
          <w:trHeight w:hRule="exact" w:val="319"/>
        </w:trPr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Свертывание, МНО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&lt; 2,0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2,0-2,5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&gt; 2,5</w:t>
            </w:r>
          </w:p>
        </w:tc>
      </w:tr>
      <w:tr w:rsidR="00C45CBE" w:rsidRPr="0067531C" w:rsidTr="00895868">
        <w:trPr>
          <w:trHeight w:hRule="exact" w:val="425"/>
        </w:trPr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 xml:space="preserve">Кровообращение, среднее АД, </w:t>
            </w:r>
            <w:proofErr w:type="gramStart"/>
            <w:r w:rsidRPr="0067531C">
              <w:rPr>
                <w:rStyle w:val="28pt"/>
                <w:sz w:val="24"/>
                <w:szCs w:val="24"/>
              </w:rPr>
              <w:t>мм</w:t>
            </w:r>
            <w:proofErr w:type="gramEnd"/>
            <w:r w:rsidRPr="0067531C">
              <w:rPr>
                <w:rStyle w:val="28pt"/>
                <w:sz w:val="24"/>
                <w:szCs w:val="24"/>
              </w:rPr>
              <w:t xml:space="preserve"> рт. ст.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&gt; 70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&lt; 70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Вазопрессоры</w:t>
            </w:r>
          </w:p>
        </w:tc>
      </w:tr>
      <w:tr w:rsidR="00C45CBE" w:rsidRPr="0067531C" w:rsidTr="00895868">
        <w:trPr>
          <w:trHeight w:hRule="exact" w:val="299"/>
        </w:trPr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 xml:space="preserve">Дыхательная система, </w:t>
            </w:r>
            <w:r w:rsidRPr="0067531C">
              <w:rPr>
                <w:rStyle w:val="28pt"/>
                <w:sz w:val="24"/>
                <w:szCs w:val="24"/>
                <w:lang w:val="en-US" w:bidi="en-US"/>
              </w:rPr>
              <w:t>PaO</w:t>
            </w:r>
            <w:r w:rsidRPr="0067531C">
              <w:rPr>
                <w:rStyle w:val="28pt"/>
                <w:sz w:val="24"/>
                <w:szCs w:val="24"/>
                <w:vertAlign w:val="subscript"/>
                <w:lang w:val="en-US" w:bidi="en-US"/>
              </w:rPr>
              <w:t>2</w:t>
            </w:r>
            <w:r w:rsidRPr="0067531C">
              <w:rPr>
                <w:rStyle w:val="28pt"/>
                <w:sz w:val="24"/>
                <w:szCs w:val="24"/>
                <w:lang w:val="en-US" w:bidi="en-US"/>
              </w:rPr>
              <w:t>/FiO</w:t>
            </w:r>
            <w:r w:rsidRPr="0067531C">
              <w:rPr>
                <w:rStyle w:val="28pt"/>
                <w:sz w:val="24"/>
                <w:szCs w:val="24"/>
                <w:vertAlign w:val="subscript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&gt; 300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&lt; 300 и &gt; 200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&lt; 200</w:t>
            </w:r>
          </w:p>
        </w:tc>
      </w:tr>
      <w:tr w:rsidR="00C45CBE" w:rsidRPr="0067531C" w:rsidTr="00895868">
        <w:trPr>
          <w:trHeight w:hRule="exact" w:val="320"/>
        </w:trPr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 xml:space="preserve">или </w:t>
            </w:r>
            <w:r w:rsidRPr="0067531C">
              <w:rPr>
                <w:rStyle w:val="28pt"/>
                <w:sz w:val="24"/>
                <w:szCs w:val="24"/>
                <w:lang w:val="en-US" w:bidi="en-US"/>
              </w:rPr>
              <w:t>SpO</w:t>
            </w:r>
            <w:r w:rsidRPr="0067531C">
              <w:rPr>
                <w:rStyle w:val="28pt"/>
                <w:sz w:val="24"/>
                <w:szCs w:val="24"/>
                <w:vertAlign w:val="subscript"/>
                <w:lang w:val="en-US" w:bidi="en-US"/>
              </w:rPr>
              <w:t>2</w:t>
            </w:r>
            <w:r w:rsidRPr="0067531C">
              <w:rPr>
                <w:rStyle w:val="28pt"/>
                <w:sz w:val="24"/>
                <w:szCs w:val="24"/>
                <w:lang w:val="en-US" w:bidi="en-US"/>
              </w:rPr>
              <w:t>/FiO</w:t>
            </w:r>
            <w:r w:rsidRPr="0067531C">
              <w:rPr>
                <w:rStyle w:val="28pt"/>
                <w:sz w:val="24"/>
                <w:szCs w:val="24"/>
                <w:vertAlign w:val="subscript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&gt; 357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&gt; 214 и &lt; 357</w:t>
            </w:r>
          </w:p>
        </w:tc>
        <w:tc>
          <w:tcPr>
            <w:tcW w:w="0" w:type="auto"/>
            <w:shd w:val="clear" w:color="auto" w:fill="FFFFFF"/>
          </w:tcPr>
          <w:p w:rsidR="00C45CBE" w:rsidRPr="0067531C" w:rsidRDefault="00C45CBE" w:rsidP="0089586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31C">
              <w:rPr>
                <w:rStyle w:val="28pt"/>
                <w:sz w:val="24"/>
                <w:szCs w:val="24"/>
              </w:rPr>
              <w:t>&lt; 214</w:t>
            </w:r>
          </w:p>
        </w:tc>
      </w:tr>
    </w:tbl>
    <w:p w:rsidR="00C45CBE" w:rsidRDefault="00C45CBE" w:rsidP="00C4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t>Примечание</w:t>
      </w:r>
      <w:r w:rsidRPr="00AC03B6">
        <w:rPr>
          <w:rFonts w:ascii="Times New Roman" w:hAnsi="Times New Roman" w:cs="Times New Roman"/>
          <w:sz w:val="20"/>
          <w:szCs w:val="20"/>
          <w:lang w:bidi="en-US"/>
        </w:rPr>
        <w:t xml:space="preserve">: </w:t>
      </w:r>
      <w:proofErr w:type="spellStart"/>
      <w:r w:rsidRPr="00FC54FE">
        <w:rPr>
          <w:rFonts w:ascii="Times New Roman" w:hAnsi="Times New Roman" w:cs="Times New Roman"/>
          <w:sz w:val="20"/>
          <w:szCs w:val="20"/>
          <w:lang w:val="en-US" w:bidi="en-US"/>
        </w:rPr>
        <w:t>FiO</w:t>
      </w:r>
      <w:proofErr w:type="spellEnd"/>
      <w:r w:rsidRPr="00FC54FE">
        <w:rPr>
          <w:rFonts w:ascii="Times New Roman" w:hAnsi="Times New Roman" w:cs="Times New Roman"/>
          <w:sz w:val="20"/>
          <w:szCs w:val="20"/>
          <w:vertAlign w:val="subscript"/>
          <w:lang w:bidi="en-US"/>
        </w:rPr>
        <w:t>2</w:t>
      </w:r>
      <w:r w:rsidRPr="00FC54FE">
        <w:rPr>
          <w:rFonts w:ascii="Times New Roman" w:hAnsi="Times New Roman" w:cs="Times New Roman"/>
          <w:sz w:val="20"/>
          <w:szCs w:val="20"/>
        </w:rPr>
        <w:t xml:space="preserve">— фракционная концентрация кислорода; </w:t>
      </w:r>
      <w:proofErr w:type="spellStart"/>
      <w:r w:rsidRPr="00FC54FE">
        <w:rPr>
          <w:rFonts w:ascii="Times New Roman" w:hAnsi="Times New Roman" w:cs="Times New Roman"/>
          <w:sz w:val="20"/>
          <w:szCs w:val="20"/>
          <w:lang w:val="en-US" w:bidi="en-US"/>
        </w:rPr>
        <w:t>PaO</w:t>
      </w:r>
      <w:proofErr w:type="spellEnd"/>
      <w:r w:rsidRPr="00FC54FE">
        <w:rPr>
          <w:rFonts w:ascii="Times New Roman" w:hAnsi="Times New Roman" w:cs="Times New Roman"/>
          <w:sz w:val="20"/>
          <w:szCs w:val="20"/>
          <w:vertAlign w:val="subscript"/>
          <w:lang w:bidi="en-US"/>
        </w:rPr>
        <w:t>2</w:t>
      </w:r>
      <w:r w:rsidRPr="00FC54FE">
        <w:rPr>
          <w:rFonts w:ascii="Times New Roman" w:hAnsi="Times New Roman" w:cs="Times New Roman"/>
          <w:sz w:val="20"/>
          <w:szCs w:val="20"/>
        </w:rPr>
        <w:t xml:space="preserve">— парциальное давление кислорода в артериальной крови; </w:t>
      </w:r>
      <w:r w:rsidRPr="00FC54FE">
        <w:rPr>
          <w:rFonts w:ascii="Times New Roman" w:hAnsi="Times New Roman" w:cs="Times New Roman"/>
          <w:sz w:val="20"/>
          <w:szCs w:val="20"/>
          <w:lang w:val="en-US" w:bidi="en-US"/>
        </w:rPr>
        <w:t>SpO</w:t>
      </w:r>
      <w:r w:rsidRPr="00FC54FE">
        <w:rPr>
          <w:rFonts w:ascii="Times New Roman" w:hAnsi="Times New Roman" w:cs="Times New Roman"/>
          <w:sz w:val="20"/>
          <w:szCs w:val="20"/>
          <w:vertAlign w:val="subscript"/>
          <w:lang w:bidi="en-US"/>
        </w:rPr>
        <w:t>2</w:t>
      </w:r>
      <w:r w:rsidRPr="00FC54FE">
        <w:rPr>
          <w:rFonts w:ascii="Times New Roman" w:hAnsi="Times New Roman" w:cs="Times New Roman"/>
          <w:sz w:val="20"/>
          <w:szCs w:val="20"/>
        </w:rPr>
        <w:t>— насыщение артериальной к</w:t>
      </w:r>
      <w:r>
        <w:rPr>
          <w:rFonts w:ascii="Times New Roman" w:hAnsi="Times New Roman" w:cs="Times New Roman"/>
          <w:sz w:val="20"/>
          <w:szCs w:val="20"/>
        </w:rPr>
        <w:t xml:space="preserve">рови кислородом по данным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пульс</w:t>
      </w:r>
      <w:r w:rsidRPr="00FC54FE">
        <w:rPr>
          <w:rFonts w:ascii="Times New Roman" w:hAnsi="Times New Roman" w:cs="Times New Roman"/>
          <w:sz w:val="20"/>
          <w:szCs w:val="20"/>
        </w:rPr>
        <w:t>оксиметрии</w:t>
      </w:r>
      <w:proofErr w:type="spellEnd"/>
    </w:p>
    <w:p w:rsidR="00C45CBE" w:rsidRPr="00FC54FE" w:rsidRDefault="00C45CBE" w:rsidP="00C4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5159" w:rsidRDefault="00CC5159" w:rsidP="00A9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proofErr w:type="gramStart"/>
      <w:r w:rsidRPr="008A47D4">
        <w:rPr>
          <w:rFonts w:ascii="Times New Roman" w:eastAsia="PragmaticaBook-Reg" w:hAnsi="Times New Roman" w:cs="Times New Roman"/>
          <w:sz w:val="28"/>
          <w:szCs w:val="28"/>
        </w:rPr>
        <w:t>В дальнейшем появились еще две прогностических</w:t>
      </w:r>
      <w:r w:rsidR="00A97C20" w:rsidRPr="008A47D4">
        <w:rPr>
          <w:rFonts w:ascii="Times New Roman" w:eastAsia="PragmaticaBook-Reg" w:hAnsi="Times New Roman" w:cs="Times New Roman"/>
          <w:sz w:val="28"/>
          <w:szCs w:val="28"/>
        </w:rPr>
        <w:t xml:space="preserve"> шкалы: одна для пациентов с ОХП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Н (оценка CLIF-C</w:t>
      </w:r>
      <w:r w:rsidR="001A3EB3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ACLF</w:t>
      </w:r>
      <w:r w:rsidR="0089238D">
        <w:rPr>
          <w:rFonts w:ascii="Times New Roman" w:eastAsia="PragmaticaBook-Reg" w:hAnsi="Times New Roman" w:cs="Times New Roman"/>
          <w:sz w:val="28"/>
          <w:szCs w:val="28"/>
        </w:rPr>
        <w:t xml:space="preserve"> – шкала обострения хронической почечной недостаточности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), другая — для пациентов с острой деком</w:t>
      </w:r>
      <w:r w:rsidR="00A97C20" w:rsidRPr="008A47D4">
        <w:rPr>
          <w:rFonts w:ascii="Times New Roman" w:eastAsia="PragmaticaBook-Reg" w:hAnsi="Times New Roman" w:cs="Times New Roman"/>
          <w:sz w:val="28"/>
          <w:szCs w:val="28"/>
        </w:rPr>
        <w:t>пенсацией цирроза без ОХП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Н (оценка CLIF-C AD</w:t>
      </w:r>
      <w:r w:rsidR="0089238D">
        <w:rPr>
          <w:rFonts w:ascii="Times New Roman" w:eastAsia="PragmaticaBook-Reg" w:hAnsi="Times New Roman" w:cs="Times New Roman"/>
          <w:sz w:val="28"/>
          <w:szCs w:val="28"/>
        </w:rPr>
        <w:t xml:space="preserve"> – шкала острой декомпенсации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),</w:t>
      </w:r>
      <w:r w:rsidR="00A97C20" w:rsidRPr="008A47D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которые улучшили точность прогноза с помощью</w:t>
      </w:r>
      <w:r w:rsidR="00A97C20" w:rsidRPr="008A47D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 xml:space="preserve">оценок </w:t>
      </w:r>
      <w:r w:rsidRPr="008A47D4">
        <w:rPr>
          <w:rFonts w:ascii="Times New Roman" w:eastAsia="PragmaticaBook-Reg" w:hAnsi="Times New Roman" w:cs="Times New Roman"/>
          <w:sz w:val="28"/>
          <w:szCs w:val="28"/>
          <w:lang w:val="en-US"/>
        </w:rPr>
        <w:t>CLIF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-</w:t>
      </w:r>
      <w:r w:rsidRPr="008A47D4">
        <w:rPr>
          <w:rFonts w:ascii="Times New Roman" w:eastAsia="PragmaticaBook-Reg" w:hAnsi="Times New Roman" w:cs="Times New Roman"/>
          <w:sz w:val="28"/>
          <w:szCs w:val="28"/>
          <w:lang w:val="en-US"/>
        </w:rPr>
        <w:t>C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8A47D4">
        <w:rPr>
          <w:rFonts w:ascii="Times New Roman" w:eastAsia="PragmaticaBook-Reg" w:hAnsi="Times New Roman" w:cs="Times New Roman"/>
          <w:sz w:val="28"/>
          <w:szCs w:val="28"/>
          <w:lang w:val="en-US"/>
        </w:rPr>
        <w:t>OF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 xml:space="preserve"> и </w:t>
      </w:r>
      <w:r w:rsidRPr="008A47D4">
        <w:rPr>
          <w:rFonts w:ascii="Times New Roman" w:eastAsia="PragmaticaBook-Reg" w:hAnsi="Times New Roman" w:cs="Times New Roman"/>
          <w:sz w:val="28"/>
          <w:szCs w:val="28"/>
          <w:lang w:val="en-US"/>
        </w:rPr>
        <w:t>CLIF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-</w:t>
      </w:r>
      <w:r w:rsidRPr="008A47D4">
        <w:rPr>
          <w:rFonts w:ascii="Times New Roman" w:eastAsia="PragmaticaBook-Reg" w:hAnsi="Times New Roman" w:cs="Times New Roman"/>
          <w:sz w:val="28"/>
          <w:szCs w:val="28"/>
          <w:lang w:val="en-US"/>
        </w:rPr>
        <w:t>SOFA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 xml:space="preserve">, а также </w:t>
      </w:r>
      <w:r w:rsidRPr="008A47D4">
        <w:rPr>
          <w:rFonts w:ascii="Times New Roman" w:eastAsia="PragmaticaBook-Reg" w:hAnsi="Times New Roman" w:cs="Times New Roman"/>
          <w:sz w:val="28"/>
          <w:szCs w:val="28"/>
          <w:lang w:val="en-US"/>
        </w:rPr>
        <w:t>MELD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 xml:space="preserve">, </w:t>
      </w:r>
      <w:r w:rsidRPr="008A47D4">
        <w:rPr>
          <w:rFonts w:ascii="Times New Roman" w:eastAsia="PragmaticaBook-Reg" w:hAnsi="Times New Roman" w:cs="Times New Roman"/>
          <w:sz w:val="28"/>
          <w:szCs w:val="28"/>
          <w:lang w:val="en-US"/>
        </w:rPr>
        <w:t>MELD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-натрий и Чайлда</w:t>
      </w:r>
      <w:r w:rsidR="003518D8" w:rsidRPr="008A47D4">
        <w:rPr>
          <w:rFonts w:ascii="Times New Roman" w:eastAsia="PragmaticaBook-Reg" w:hAnsi="Times New Roman" w:cs="Times New Roman"/>
          <w:sz w:val="28"/>
          <w:szCs w:val="28"/>
        </w:rPr>
        <w:t>-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Пью.</w:t>
      </w:r>
      <w:proofErr w:type="gramEnd"/>
      <w:r w:rsidRPr="008A47D4">
        <w:rPr>
          <w:rFonts w:ascii="Times New Roman" w:eastAsia="PragmaticaBook-Reg" w:hAnsi="Times New Roman" w:cs="Times New Roman"/>
          <w:sz w:val="28"/>
          <w:szCs w:val="28"/>
        </w:rPr>
        <w:t xml:space="preserve"> Шкала CLIF-C ACLF учитывает показатели CLIF-C OF, возраст и число лейкоцитов. Шкала CLIF-C AD — возраст, число лейкоцитов,</w:t>
      </w:r>
      <w:r w:rsidR="00A97C20" w:rsidRPr="008A47D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сывороточный уровень натрия, сывороточный уровень креатинина и МНО. Переменные всех этих шкал</w:t>
      </w:r>
      <w:r w:rsidR="00A97C20" w:rsidRPr="008A47D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объединяют, получая оценочную систему с диапазоном значений от 0 до 100 баллов. Шкалы CLIF-C OF,</w:t>
      </w:r>
      <w:r w:rsidR="00A97C20" w:rsidRPr="008A47D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CLIF-C ACLF и CLIF-C AD позволили создать пошаговый алгоритм рационального лечения пациентов с</w:t>
      </w:r>
      <w:r w:rsidR="00A97C20" w:rsidRPr="008A47D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8A47D4">
        <w:rPr>
          <w:rFonts w:ascii="Times New Roman" w:eastAsia="PragmaticaBook-Reg" w:hAnsi="Times New Roman" w:cs="Times New Roman"/>
          <w:sz w:val="28"/>
          <w:szCs w:val="28"/>
        </w:rPr>
        <w:t>декомпенсированным циррозом.</w:t>
      </w:r>
    </w:p>
    <w:p w:rsidR="00C45CBE" w:rsidRPr="008A47D4" w:rsidRDefault="00C45CBE" w:rsidP="00A9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</w:p>
    <w:p w:rsidR="000E764E" w:rsidRPr="008A47D4" w:rsidRDefault="000E764E" w:rsidP="000E764E">
      <w:pPr>
        <w:pStyle w:val="6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1" w:name="bookmark17"/>
      <w:r w:rsidRPr="008A47D4">
        <w:rPr>
          <w:sz w:val="28"/>
          <w:szCs w:val="28"/>
        </w:rPr>
        <w:t>Прогноз у пациентов с острой деко</w:t>
      </w:r>
      <w:r w:rsidR="00F43286" w:rsidRPr="008A47D4">
        <w:rPr>
          <w:sz w:val="28"/>
          <w:szCs w:val="28"/>
        </w:rPr>
        <w:t>мпенсацией цирроза печени с ОХП</w:t>
      </w:r>
      <w:r w:rsidRPr="008A47D4">
        <w:rPr>
          <w:sz w:val="28"/>
          <w:szCs w:val="28"/>
        </w:rPr>
        <w:t>Н и без нее. Терапевтическое значение</w:t>
      </w:r>
      <w:bookmarkEnd w:id="1"/>
    </w:p>
    <w:p w:rsidR="000E764E" w:rsidRPr="008A47D4" w:rsidRDefault="000E764E" w:rsidP="000E764E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A47D4">
        <w:rPr>
          <w:sz w:val="28"/>
          <w:szCs w:val="28"/>
        </w:rPr>
        <w:t>Для разработки лечебных стратегий при острой декомпенсации у больных ОХ</w:t>
      </w:r>
      <w:r w:rsidR="00F43286" w:rsidRPr="008A47D4">
        <w:rPr>
          <w:sz w:val="28"/>
          <w:szCs w:val="28"/>
        </w:rPr>
        <w:t>ПН и без нее необходима утверж</w:t>
      </w:r>
      <w:r w:rsidRPr="008A47D4">
        <w:rPr>
          <w:sz w:val="28"/>
          <w:szCs w:val="28"/>
        </w:rPr>
        <w:t>денная клиническая с</w:t>
      </w:r>
      <w:r w:rsidR="00A7516A">
        <w:rPr>
          <w:sz w:val="28"/>
          <w:szCs w:val="28"/>
        </w:rPr>
        <w:t>истема оценки, которую можно ис</w:t>
      </w:r>
      <w:r w:rsidRPr="008A47D4">
        <w:rPr>
          <w:sz w:val="28"/>
          <w:szCs w:val="28"/>
        </w:rPr>
        <w:t>пользовать у постели пациента и применять ежедневно, чтобы обеспечить текущую стратификацию пациентов на интенсивную терапию, ускоренное прохождение очереди на трансплантацию п</w:t>
      </w:r>
      <w:r w:rsidR="00F43286" w:rsidRPr="008A47D4">
        <w:rPr>
          <w:sz w:val="28"/>
          <w:szCs w:val="28"/>
        </w:rPr>
        <w:t>ечени, раннюю выписку из больни</w:t>
      </w:r>
      <w:r w:rsidRPr="008A47D4">
        <w:rPr>
          <w:sz w:val="28"/>
          <w:szCs w:val="28"/>
        </w:rPr>
        <w:t>цы и определение, на</w:t>
      </w:r>
      <w:r w:rsidR="00F43286" w:rsidRPr="008A47D4">
        <w:rPr>
          <w:sz w:val="28"/>
          <w:szCs w:val="28"/>
        </w:rPr>
        <w:t>сколько оправдана дальнейшая ин</w:t>
      </w:r>
      <w:r w:rsidRPr="008A47D4">
        <w:rPr>
          <w:sz w:val="28"/>
          <w:szCs w:val="28"/>
        </w:rPr>
        <w:t>т</w:t>
      </w:r>
      <w:r w:rsidR="00F43286" w:rsidRPr="008A47D4">
        <w:rPr>
          <w:sz w:val="28"/>
          <w:szCs w:val="28"/>
        </w:rPr>
        <w:t>енсивная терапия</w:t>
      </w:r>
      <w:r w:rsidRPr="008A47D4">
        <w:rPr>
          <w:sz w:val="28"/>
          <w:szCs w:val="28"/>
        </w:rPr>
        <w:t>.</w:t>
      </w:r>
    </w:p>
    <w:p w:rsidR="000E764E" w:rsidRPr="008A47D4" w:rsidRDefault="000E764E" w:rsidP="00F43286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A47D4">
        <w:rPr>
          <w:sz w:val="28"/>
          <w:szCs w:val="28"/>
        </w:rPr>
        <w:t xml:space="preserve">Потенциальные прогностические маркеры у больных с циррозом и ОН определялись во многих исследованиях, но в большинстве случаев в </w:t>
      </w:r>
      <w:r w:rsidR="00F43286" w:rsidRPr="008A47D4">
        <w:rPr>
          <w:sz w:val="28"/>
          <w:szCs w:val="28"/>
        </w:rPr>
        <w:t>них не учитывался ряд прогности</w:t>
      </w:r>
      <w:r w:rsidRPr="008A47D4">
        <w:rPr>
          <w:sz w:val="28"/>
          <w:szCs w:val="28"/>
        </w:rPr>
        <w:t>ческих переменных, и</w:t>
      </w:r>
      <w:r w:rsidR="00F43286" w:rsidRPr="008A47D4">
        <w:rPr>
          <w:sz w:val="28"/>
          <w:szCs w:val="28"/>
        </w:rPr>
        <w:t>сследования были ретроспективны</w:t>
      </w:r>
      <w:r w:rsidRPr="008A47D4">
        <w:rPr>
          <w:sz w:val="28"/>
          <w:szCs w:val="28"/>
        </w:rPr>
        <w:t xml:space="preserve">ми, проводились на отдельных группах пациентов или не были подтверждены в </w:t>
      </w:r>
      <w:r w:rsidR="00F43286" w:rsidRPr="008A47D4">
        <w:rPr>
          <w:sz w:val="28"/>
          <w:szCs w:val="28"/>
        </w:rPr>
        <w:t>независимых когортах</w:t>
      </w:r>
      <w:r w:rsidRPr="008A47D4">
        <w:rPr>
          <w:sz w:val="28"/>
          <w:szCs w:val="28"/>
        </w:rPr>
        <w:t xml:space="preserve">. Однако, несмотря на свои ограничения, эти исследования указали на важность ОН </w:t>
      </w:r>
      <w:r w:rsidR="003518D8" w:rsidRPr="008A47D4">
        <w:rPr>
          <w:sz w:val="28"/>
          <w:szCs w:val="28"/>
        </w:rPr>
        <w:t>при определении прогноза у паци</w:t>
      </w:r>
      <w:r w:rsidRPr="008A47D4">
        <w:rPr>
          <w:sz w:val="28"/>
          <w:szCs w:val="28"/>
        </w:rPr>
        <w:t xml:space="preserve">ентов с циррозом и необходимость учитывать системное воспаление. Чтобы преодолеть названные ограничения, в исследовании </w:t>
      </w:r>
      <w:r w:rsidRPr="008A47D4">
        <w:rPr>
          <w:sz w:val="28"/>
          <w:szCs w:val="28"/>
          <w:lang w:val="en-US" w:bidi="en-US"/>
        </w:rPr>
        <w:t>CANONIC</w:t>
      </w:r>
      <w:r w:rsidR="00F43286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</w:rPr>
        <w:t>помим</w:t>
      </w:r>
      <w:r w:rsidR="00AC03B6" w:rsidRPr="008A47D4">
        <w:rPr>
          <w:sz w:val="28"/>
          <w:szCs w:val="28"/>
        </w:rPr>
        <w:t>о прочего была поставлена цель -</w:t>
      </w:r>
      <w:r w:rsidRPr="008A47D4">
        <w:rPr>
          <w:sz w:val="28"/>
          <w:szCs w:val="28"/>
        </w:rPr>
        <w:t xml:space="preserve"> создать оценочную </w:t>
      </w:r>
      <w:r w:rsidRPr="008A47D4">
        <w:rPr>
          <w:sz w:val="28"/>
          <w:szCs w:val="28"/>
        </w:rPr>
        <w:lastRenderedPageBreak/>
        <w:t>систему для лиц с остро</w:t>
      </w:r>
      <w:r w:rsidR="00F43286" w:rsidRPr="008A47D4">
        <w:rPr>
          <w:sz w:val="28"/>
          <w:szCs w:val="28"/>
        </w:rPr>
        <w:t>й де</w:t>
      </w:r>
      <w:r w:rsidR="00F43286" w:rsidRPr="008A47D4">
        <w:rPr>
          <w:sz w:val="28"/>
          <w:szCs w:val="28"/>
        </w:rPr>
        <w:softHyphen/>
        <w:t>компенсацией цирроза с ОХП</w:t>
      </w:r>
      <w:r w:rsidRPr="008A47D4">
        <w:rPr>
          <w:sz w:val="28"/>
          <w:szCs w:val="28"/>
        </w:rPr>
        <w:t>Н или без нее и пошаговый алгоритм для рационального назначения терапии.</w:t>
      </w:r>
    </w:p>
    <w:p w:rsidR="000E764E" w:rsidRPr="008A47D4" w:rsidRDefault="000E764E" w:rsidP="000E764E">
      <w:pPr>
        <w:pStyle w:val="6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A47D4">
        <w:rPr>
          <w:sz w:val="28"/>
          <w:szCs w:val="28"/>
        </w:rPr>
        <w:t>Разработка оценоч</w:t>
      </w:r>
      <w:r w:rsidR="00F43286" w:rsidRPr="008A47D4">
        <w:rPr>
          <w:sz w:val="28"/>
          <w:szCs w:val="28"/>
        </w:rPr>
        <w:t>ной системы для пациентов с ОХП</w:t>
      </w:r>
      <w:r w:rsidRPr="008A47D4">
        <w:rPr>
          <w:sz w:val="28"/>
          <w:szCs w:val="28"/>
        </w:rPr>
        <w:t>Н</w:t>
      </w:r>
      <w:r w:rsidR="00817F2D" w:rsidRPr="008A47D4">
        <w:rPr>
          <w:sz w:val="28"/>
          <w:szCs w:val="28"/>
        </w:rPr>
        <w:t>.</w:t>
      </w:r>
    </w:p>
    <w:p w:rsidR="000E764E" w:rsidRDefault="000E764E" w:rsidP="00F43286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A47D4">
        <w:rPr>
          <w:sz w:val="28"/>
          <w:szCs w:val="28"/>
        </w:rPr>
        <w:t xml:space="preserve">Выбранный подход предполагал статистический анализ клинических и биохимических факторов у участников </w:t>
      </w:r>
      <w:r w:rsidR="00F43286" w:rsidRPr="008A47D4">
        <w:rPr>
          <w:sz w:val="28"/>
          <w:szCs w:val="28"/>
        </w:rPr>
        <w:t>с ОХП</w:t>
      </w:r>
      <w:r w:rsidRPr="008A47D4">
        <w:rPr>
          <w:sz w:val="28"/>
          <w:szCs w:val="28"/>
        </w:rPr>
        <w:t>Н — ф</w:t>
      </w:r>
      <w:r w:rsidR="00F43286" w:rsidRPr="008A47D4">
        <w:rPr>
          <w:sz w:val="28"/>
          <w:szCs w:val="28"/>
        </w:rPr>
        <w:t>акторов, которые были бы незави</w:t>
      </w:r>
      <w:r w:rsidRPr="008A47D4">
        <w:rPr>
          <w:sz w:val="28"/>
          <w:szCs w:val="28"/>
        </w:rPr>
        <w:t>симо связаны со смертностью, а затем создание с помощью математических мет</w:t>
      </w:r>
      <w:r w:rsidR="00F43286" w:rsidRPr="008A47D4">
        <w:rPr>
          <w:sz w:val="28"/>
          <w:szCs w:val="28"/>
        </w:rPr>
        <w:t>одов прогностической модели</w:t>
      </w:r>
      <w:r w:rsidRPr="008A47D4">
        <w:rPr>
          <w:sz w:val="28"/>
          <w:szCs w:val="28"/>
        </w:rPr>
        <w:t>. К факторам, независи</w:t>
      </w:r>
      <w:r w:rsidR="00F43286" w:rsidRPr="008A47D4">
        <w:rPr>
          <w:sz w:val="28"/>
          <w:szCs w:val="28"/>
        </w:rPr>
        <w:t>мо связанным со смертностью, от</w:t>
      </w:r>
      <w:r w:rsidRPr="008A47D4">
        <w:rPr>
          <w:sz w:val="28"/>
          <w:szCs w:val="28"/>
        </w:rPr>
        <w:t xml:space="preserve">несли оценку по шкале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817F2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OF</w:t>
      </w:r>
      <w:r w:rsidRPr="008A47D4">
        <w:rPr>
          <w:sz w:val="28"/>
          <w:szCs w:val="28"/>
          <w:lang w:bidi="en-US"/>
        </w:rPr>
        <w:t xml:space="preserve">, </w:t>
      </w:r>
      <w:r w:rsidR="00F43286" w:rsidRPr="008A47D4">
        <w:rPr>
          <w:sz w:val="28"/>
          <w:szCs w:val="28"/>
        </w:rPr>
        <w:t>возраст и число лейкоци</w:t>
      </w:r>
      <w:r w:rsidRPr="008A47D4">
        <w:rPr>
          <w:sz w:val="28"/>
          <w:szCs w:val="28"/>
        </w:rPr>
        <w:t>тов. Окончательная мод</w:t>
      </w:r>
      <w:r w:rsidR="00F43286" w:rsidRPr="008A47D4">
        <w:rPr>
          <w:sz w:val="28"/>
          <w:szCs w:val="28"/>
        </w:rPr>
        <w:t>ель, включавшая эти три перемен</w:t>
      </w:r>
      <w:r w:rsidRPr="008A47D4">
        <w:rPr>
          <w:sz w:val="28"/>
          <w:szCs w:val="28"/>
        </w:rPr>
        <w:t xml:space="preserve">ные, легла в основу новой шкалы —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ACLF</w:t>
      </w:r>
      <w:r w:rsidRPr="008A47D4">
        <w:rPr>
          <w:sz w:val="28"/>
          <w:szCs w:val="28"/>
          <w:lang w:bidi="en-US"/>
        </w:rPr>
        <w:t xml:space="preserve">, </w:t>
      </w:r>
      <w:r w:rsidRPr="008A47D4">
        <w:rPr>
          <w:sz w:val="28"/>
          <w:szCs w:val="28"/>
        </w:rPr>
        <w:t xml:space="preserve">которая может давать оценку от 0 до 100. Индекс согласованности, а также площадь под характеристической </w:t>
      </w:r>
      <w:r w:rsidRPr="008A47D4">
        <w:rPr>
          <w:sz w:val="28"/>
          <w:szCs w:val="28"/>
          <w:lang w:val="en-US" w:bidi="en-US"/>
        </w:rPr>
        <w:t>ROC</w:t>
      </w:r>
      <w:r w:rsidR="00F43286" w:rsidRPr="008A47D4">
        <w:rPr>
          <w:sz w:val="28"/>
          <w:szCs w:val="28"/>
        </w:rPr>
        <w:t>-кривой по</w:t>
      </w:r>
      <w:r w:rsidRPr="008A47D4">
        <w:rPr>
          <w:sz w:val="28"/>
          <w:szCs w:val="28"/>
        </w:rPr>
        <w:t>казали, что эта шкала значительно лучше характеризовала риск смерти в период 28, 9</w:t>
      </w:r>
      <w:r w:rsidR="00F43286" w:rsidRPr="008A47D4">
        <w:rPr>
          <w:sz w:val="28"/>
          <w:szCs w:val="28"/>
        </w:rPr>
        <w:t>0, 180 и 365 дней, чем современ</w:t>
      </w:r>
      <w:r w:rsidRPr="008A47D4">
        <w:rPr>
          <w:sz w:val="28"/>
          <w:szCs w:val="28"/>
        </w:rPr>
        <w:t xml:space="preserve">ные «золотые стандарты» — модель терминальной стадии заболевания печени (оценка </w:t>
      </w:r>
      <w:r w:rsidRPr="008A47D4">
        <w:rPr>
          <w:sz w:val="28"/>
          <w:szCs w:val="28"/>
          <w:lang w:val="en-US" w:bidi="en-US"/>
        </w:rPr>
        <w:t>MELD</w:t>
      </w:r>
      <w:r w:rsidR="00A16EC7" w:rsidRPr="008A47D4">
        <w:rPr>
          <w:sz w:val="28"/>
          <w:szCs w:val="28"/>
          <w:lang w:bidi="en-US"/>
        </w:rPr>
        <w:t>)</w:t>
      </w:r>
      <w:r w:rsidRPr="008A47D4">
        <w:rPr>
          <w:sz w:val="28"/>
          <w:szCs w:val="28"/>
        </w:rPr>
        <w:t xml:space="preserve">, оценка </w:t>
      </w:r>
      <w:r w:rsidRPr="008A47D4">
        <w:rPr>
          <w:sz w:val="28"/>
          <w:szCs w:val="28"/>
          <w:lang w:val="en-US" w:bidi="en-US"/>
        </w:rPr>
        <w:t>MELD</w:t>
      </w:r>
      <w:r w:rsidRPr="008A47D4">
        <w:rPr>
          <w:sz w:val="28"/>
          <w:szCs w:val="28"/>
          <w:lang w:bidi="en-US"/>
        </w:rPr>
        <w:t xml:space="preserve">- </w:t>
      </w:r>
      <w:r w:rsidR="00A16EC7" w:rsidRPr="008A47D4">
        <w:rPr>
          <w:sz w:val="28"/>
          <w:szCs w:val="28"/>
        </w:rPr>
        <w:t>натрий</w:t>
      </w:r>
      <w:r w:rsidR="00F43286" w:rsidRPr="008A47D4">
        <w:rPr>
          <w:sz w:val="28"/>
          <w:szCs w:val="28"/>
        </w:rPr>
        <w:t xml:space="preserve"> и оценка по Чайлду-Пью</w:t>
      </w:r>
      <w:r w:rsidRPr="008A47D4">
        <w:rPr>
          <w:sz w:val="28"/>
          <w:szCs w:val="28"/>
          <w:lang w:bidi="en-US"/>
        </w:rPr>
        <w:t>.</w:t>
      </w:r>
      <w:r w:rsidR="00F43286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</w:rPr>
        <w:t xml:space="preserve">В дальнейшем шкалу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ACLF</w:t>
      </w:r>
      <w:r w:rsidR="00F43286" w:rsidRPr="008A47D4">
        <w:rPr>
          <w:sz w:val="28"/>
          <w:szCs w:val="28"/>
          <w:lang w:bidi="en-US"/>
        </w:rPr>
        <w:t xml:space="preserve"> </w:t>
      </w:r>
      <w:r w:rsidR="00F43286" w:rsidRPr="008A47D4">
        <w:rPr>
          <w:sz w:val="28"/>
          <w:szCs w:val="28"/>
        </w:rPr>
        <w:t>про</w:t>
      </w:r>
      <w:r w:rsidRPr="008A47D4">
        <w:rPr>
          <w:sz w:val="28"/>
          <w:szCs w:val="28"/>
        </w:rPr>
        <w:t>верили и утвердили дл</w:t>
      </w:r>
      <w:r w:rsidR="00F43286" w:rsidRPr="008A47D4">
        <w:rPr>
          <w:sz w:val="28"/>
          <w:szCs w:val="28"/>
        </w:rPr>
        <w:t>я поэтапного применения с данны</w:t>
      </w:r>
      <w:r w:rsidRPr="008A47D4">
        <w:rPr>
          <w:sz w:val="28"/>
          <w:szCs w:val="28"/>
        </w:rPr>
        <w:t>ми, полученными у пациентов через 48 ч, 3-7 дня и позже. Прогностическая ценность в отношении смертности за</w:t>
      </w:r>
      <w:r w:rsidR="00F43286" w:rsidRPr="008A47D4">
        <w:rPr>
          <w:sz w:val="28"/>
          <w:szCs w:val="28"/>
        </w:rPr>
        <w:t xml:space="preserve"> </w:t>
      </w:r>
      <w:r w:rsidRPr="008A47D4">
        <w:rPr>
          <w:sz w:val="28"/>
          <w:szCs w:val="28"/>
        </w:rPr>
        <w:t xml:space="preserve">28 дней и 3 мес. заметно выросла при определении через 48 ч по сравнению с данными на момент поступления. Это означает, что шкалу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ACLF</w:t>
      </w:r>
      <w:r w:rsidR="00F43286" w:rsidRPr="008A47D4">
        <w:rPr>
          <w:sz w:val="28"/>
          <w:szCs w:val="28"/>
          <w:lang w:bidi="en-US"/>
        </w:rPr>
        <w:t xml:space="preserve"> </w:t>
      </w:r>
      <w:r w:rsidR="00F43286" w:rsidRPr="008A47D4">
        <w:rPr>
          <w:sz w:val="28"/>
          <w:szCs w:val="28"/>
        </w:rPr>
        <w:t>можно применять в дина</w:t>
      </w:r>
      <w:r w:rsidR="00C45CBE">
        <w:rPr>
          <w:sz w:val="28"/>
          <w:szCs w:val="28"/>
        </w:rPr>
        <w:t>мике для оценки эффекта лечения.</w:t>
      </w:r>
    </w:p>
    <w:p w:rsidR="000E764E" w:rsidRPr="008A47D4" w:rsidRDefault="000E764E" w:rsidP="000E764E">
      <w:pPr>
        <w:pStyle w:val="6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A47D4">
        <w:rPr>
          <w:sz w:val="28"/>
          <w:szCs w:val="28"/>
        </w:rPr>
        <w:t>Разработка оценочной системы для пациентов с острой дек</w:t>
      </w:r>
      <w:r w:rsidR="0093524A" w:rsidRPr="008A47D4">
        <w:rPr>
          <w:sz w:val="28"/>
          <w:szCs w:val="28"/>
        </w:rPr>
        <w:t>омпенсацией цирроза, но без ОХП</w:t>
      </w:r>
      <w:r w:rsidRPr="008A47D4">
        <w:rPr>
          <w:sz w:val="28"/>
          <w:szCs w:val="28"/>
        </w:rPr>
        <w:t>Н</w:t>
      </w:r>
      <w:r w:rsidR="00817F2D" w:rsidRPr="008A47D4">
        <w:rPr>
          <w:sz w:val="28"/>
          <w:szCs w:val="28"/>
        </w:rPr>
        <w:t>.</w:t>
      </w:r>
    </w:p>
    <w:p w:rsidR="000E764E" w:rsidRPr="008A47D4" w:rsidRDefault="000E764E" w:rsidP="0093524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A47D4">
        <w:rPr>
          <w:sz w:val="28"/>
          <w:szCs w:val="28"/>
        </w:rPr>
        <w:t xml:space="preserve">Аналогичный подход на основе данных </w:t>
      </w:r>
      <w:r w:rsidRPr="008A47D4">
        <w:rPr>
          <w:sz w:val="28"/>
          <w:szCs w:val="28"/>
          <w:lang w:val="en-US" w:bidi="en-US"/>
        </w:rPr>
        <w:t>CANONIC</w:t>
      </w:r>
      <w:r w:rsidR="0093524A" w:rsidRPr="008A47D4">
        <w:rPr>
          <w:sz w:val="28"/>
          <w:szCs w:val="28"/>
          <w:lang w:bidi="en-US"/>
        </w:rPr>
        <w:t xml:space="preserve"> </w:t>
      </w:r>
      <w:r w:rsidR="0093524A" w:rsidRPr="008A47D4">
        <w:rPr>
          <w:sz w:val="28"/>
          <w:szCs w:val="28"/>
        </w:rPr>
        <w:t>был ис</w:t>
      </w:r>
      <w:r w:rsidRPr="008A47D4">
        <w:rPr>
          <w:sz w:val="28"/>
          <w:szCs w:val="28"/>
        </w:rPr>
        <w:t xml:space="preserve">пользован при создании шкалы острой декомпенсации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AD</w:t>
      </w:r>
      <w:r w:rsidR="00A16EC7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</w:rPr>
        <w:t>для госпитализированных па</w:t>
      </w:r>
      <w:r w:rsidR="0093524A" w:rsidRPr="008A47D4">
        <w:rPr>
          <w:sz w:val="28"/>
          <w:szCs w:val="28"/>
        </w:rPr>
        <w:t>циентов с циррозом, но без ОХПН</w:t>
      </w:r>
      <w:r w:rsidR="00A246D2">
        <w:rPr>
          <w:sz w:val="28"/>
          <w:szCs w:val="28"/>
        </w:rPr>
        <w:t xml:space="preserve"> (рисунок 1)</w:t>
      </w:r>
      <w:r w:rsidRPr="008A47D4">
        <w:rPr>
          <w:sz w:val="28"/>
          <w:szCs w:val="28"/>
        </w:rPr>
        <w:t xml:space="preserve">. Анализ проведен для проверки гипотезы, согласно которой среди пациентов </w:t>
      </w:r>
      <w:r w:rsidR="0093524A" w:rsidRPr="008A47D4">
        <w:rPr>
          <w:sz w:val="28"/>
          <w:szCs w:val="28"/>
        </w:rPr>
        <w:t>с острой декомпенсацией без ОХП</w:t>
      </w:r>
      <w:r w:rsidRPr="008A47D4">
        <w:rPr>
          <w:sz w:val="28"/>
          <w:szCs w:val="28"/>
        </w:rPr>
        <w:t>Н может быть группа очень низкого риска, которую можно выписывать, и группа высокого риска, которой угрожает прогрессирование с развитием полноцен</w:t>
      </w:r>
      <w:r w:rsidR="0093524A" w:rsidRPr="008A47D4">
        <w:rPr>
          <w:sz w:val="28"/>
          <w:szCs w:val="28"/>
        </w:rPr>
        <w:t>ной ОХПН и высоким риском смер</w:t>
      </w:r>
      <w:r w:rsidRPr="008A47D4">
        <w:rPr>
          <w:sz w:val="28"/>
          <w:szCs w:val="28"/>
        </w:rPr>
        <w:t>ти. Анализ выявил п</w:t>
      </w:r>
      <w:r w:rsidR="0093524A" w:rsidRPr="008A47D4">
        <w:rPr>
          <w:sz w:val="28"/>
          <w:szCs w:val="28"/>
        </w:rPr>
        <w:t>ять независимых переменных: воз</w:t>
      </w:r>
      <w:r w:rsidRPr="008A47D4">
        <w:rPr>
          <w:sz w:val="28"/>
          <w:szCs w:val="28"/>
        </w:rPr>
        <w:t xml:space="preserve">раст, сывороточный уровень натрия, число лейкоцитов, уровень креатинина и международное нормализованное отношение (МНО). Эти переменные были включены в шкалу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AD</w:t>
      </w:r>
      <w:r w:rsidRPr="008A47D4">
        <w:rPr>
          <w:sz w:val="28"/>
          <w:szCs w:val="28"/>
          <w:lang w:bidi="en-US"/>
        </w:rPr>
        <w:t xml:space="preserve">, </w:t>
      </w:r>
      <w:r w:rsidRPr="008A47D4">
        <w:rPr>
          <w:sz w:val="28"/>
          <w:szCs w:val="28"/>
        </w:rPr>
        <w:t xml:space="preserve">позволяющую получить оценку от 0 до 100 баллов. Шкала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D626EC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AD</w:t>
      </w:r>
      <w:r w:rsidR="00C45CBE">
        <w:rPr>
          <w:sz w:val="28"/>
          <w:szCs w:val="28"/>
          <w:lang w:bidi="en-US"/>
        </w:rPr>
        <w:t xml:space="preserve"> </w:t>
      </w:r>
      <w:r w:rsidR="005B4CE2" w:rsidRPr="008A47D4">
        <w:rPr>
          <w:sz w:val="28"/>
          <w:szCs w:val="28"/>
        </w:rPr>
        <w:t>оказалась намного эффек</w:t>
      </w:r>
      <w:r w:rsidRPr="008A47D4">
        <w:rPr>
          <w:sz w:val="28"/>
          <w:szCs w:val="28"/>
        </w:rPr>
        <w:t xml:space="preserve">тивнее </w:t>
      </w:r>
      <w:r w:rsidRPr="008A47D4">
        <w:rPr>
          <w:sz w:val="28"/>
          <w:szCs w:val="28"/>
          <w:lang w:val="en-US" w:bidi="en-US"/>
        </w:rPr>
        <w:t>MELD</w:t>
      </w:r>
      <w:r w:rsidRPr="008A47D4">
        <w:rPr>
          <w:sz w:val="28"/>
          <w:szCs w:val="28"/>
          <w:lang w:bidi="en-US"/>
        </w:rPr>
        <w:t xml:space="preserve">, </w:t>
      </w:r>
      <w:r w:rsidRPr="008A47D4">
        <w:rPr>
          <w:sz w:val="28"/>
          <w:szCs w:val="28"/>
          <w:lang w:val="en-US" w:bidi="en-US"/>
        </w:rPr>
        <w:t>MELD</w:t>
      </w:r>
      <w:r w:rsidR="005B4CE2" w:rsidRPr="008A47D4">
        <w:rPr>
          <w:sz w:val="28"/>
          <w:szCs w:val="28"/>
        </w:rPr>
        <w:t xml:space="preserve">-натрий и </w:t>
      </w:r>
      <w:proofErr w:type="spellStart"/>
      <w:r w:rsidR="005B4CE2" w:rsidRPr="008A47D4">
        <w:rPr>
          <w:sz w:val="28"/>
          <w:szCs w:val="28"/>
        </w:rPr>
        <w:t>Чайлда</w:t>
      </w:r>
      <w:proofErr w:type="spellEnd"/>
      <w:r w:rsidR="005B4CE2" w:rsidRPr="008A47D4">
        <w:rPr>
          <w:sz w:val="28"/>
          <w:szCs w:val="28"/>
        </w:rPr>
        <w:t>-Пью в прогнози</w:t>
      </w:r>
      <w:r w:rsidRPr="008A47D4">
        <w:rPr>
          <w:sz w:val="28"/>
          <w:szCs w:val="28"/>
        </w:rPr>
        <w:t>ровании смертельного исх</w:t>
      </w:r>
      <w:r w:rsidR="005B4CE2" w:rsidRPr="008A47D4">
        <w:rPr>
          <w:sz w:val="28"/>
          <w:szCs w:val="28"/>
        </w:rPr>
        <w:t>ода за 3 и 12 мес</w:t>
      </w:r>
      <w:r w:rsidRPr="008A47D4">
        <w:rPr>
          <w:sz w:val="28"/>
          <w:szCs w:val="28"/>
          <w:lang w:bidi="en-US"/>
        </w:rPr>
        <w:t xml:space="preserve">. </w:t>
      </w:r>
      <w:r w:rsidRPr="008A47D4">
        <w:rPr>
          <w:sz w:val="28"/>
          <w:szCs w:val="28"/>
        </w:rPr>
        <w:t xml:space="preserve">На практике шкала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AD</w:t>
      </w:r>
      <w:r w:rsidR="005B4CE2" w:rsidRPr="008A47D4">
        <w:rPr>
          <w:sz w:val="28"/>
          <w:szCs w:val="28"/>
          <w:lang w:bidi="en-US"/>
        </w:rPr>
        <w:t xml:space="preserve"> </w:t>
      </w:r>
      <w:r w:rsidR="005B4CE2" w:rsidRPr="008A47D4">
        <w:rPr>
          <w:sz w:val="28"/>
          <w:szCs w:val="28"/>
        </w:rPr>
        <w:t>повы</w:t>
      </w:r>
      <w:r w:rsidRPr="008A47D4">
        <w:rPr>
          <w:sz w:val="28"/>
          <w:szCs w:val="28"/>
        </w:rPr>
        <w:t xml:space="preserve">сила точность прогнозирования на 10-20 % по сравнению с другими системами. Кроме того, для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AD</w:t>
      </w:r>
      <w:r w:rsidR="00F03E5D" w:rsidRPr="008A47D4">
        <w:rPr>
          <w:sz w:val="28"/>
          <w:szCs w:val="28"/>
          <w:lang w:bidi="en-US"/>
        </w:rPr>
        <w:t xml:space="preserve"> </w:t>
      </w:r>
      <w:r w:rsidR="005B4CE2" w:rsidRPr="008A47D4">
        <w:rPr>
          <w:sz w:val="28"/>
          <w:szCs w:val="28"/>
        </w:rPr>
        <w:t>были раз</w:t>
      </w:r>
      <w:r w:rsidRPr="008A47D4">
        <w:rPr>
          <w:sz w:val="28"/>
          <w:szCs w:val="28"/>
        </w:rPr>
        <w:t xml:space="preserve">работаны дискретные пороговые значения. Так, оценка менее 45 баллов соответствует 1,8%-му риску 3-месячной смертности, т. е. пациенты с такой оценкой составляют группу очень низкого риска. Оценка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AD</w:t>
      </w:r>
      <w:r w:rsidRPr="008A47D4">
        <w:rPr>
          <w:sz w:val="28"/>
          <w:szCs w:val="28"/>
        </w:rPr>
        <w:t>&gt; 60 баллов соответствовала 31 % 3-месячной смертнос</w:t>
      </w:r>
      <w:r w:rsidR="005B4CE2" w:rsidRPr="008A47D4">
        <w:rPr>
          <w:sz w:val="28"/>
          <w:szCs w:val="28"/>
        </w:rPr>
        <w:t>ти, т. е. высо</w:t>
      </w:r>
      <w:r w:rsidRPr="008A47D4">
        <w:rPr>
          <w:sz w:val="28"/>
          <w:szCs w:val="28"/>
        </w:rPr>
        <w:t>кому риску. К группе с</w:t>
      </w:r>
      <w:r w:rsidR="005B4CE2" w:rsidRPr="008A47D4">
        <w:rPr>
          <w:sz w:val="28"/>
          <w:szCs w:val="28"/>
        </w:rPr>
        <w:t>реднего риска относились пациен</w:t>
      </w:r>
      <w:r w:rsidRPr="008A47D4">
        <w:rPr>
          <w:sz w:val="28"/>
          <w:szCs w:val="28"/>
        </w:rPr>
        <w:t xml:space="preserve">ты с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AD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</w:rPr>
        <w:t>45-60 баллов.</w:t>
      </w:r>
    </w:p>
    <w:p w:rsidR="008D5960" w:rsidRDefault="008D5960" w:rsidP="000E764E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6A64FC9" wp14:editId="254FB41A">
            <wp:extent cx="5334000" cy="3448050"/>
            <wp:effectExtent l="0" t="0" r="0" b="0"/>
            <wp:docPr id="1" name="Рисунок 1" descr="L:\Задачи наука\ОХПН\CLIF-C A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Задачи наука\ОХПН\CLIF-C AD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316" cy="34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60" w:rsidRPr="00C45CBE" w:rsidRDefault="008D5960" w:rsidP="008D596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A246D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Pr="0054094B">
        <w:rPr>
          <w:sz w:val="28"/>
          <w:szCs w:val="28"/>
        </w:rPr>
        <w:t xml:space="preserve">Оценка ОХПН по шкале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Pr="008A47D4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val="en-US" w:bidi="en-US"/>
        </w:rPr>
        <w:t>AD</w:t>
      </w:r>
      <w:r>
        <w:rPr>
          <w:sz w:val="28"/>
          <w:szCs w:val="28"/>
          <w:lang w:bidi="en-US"/>
        </w:rPr>
        <w:t xml:space="preserve"> </w:t>
      </w:r>
    </w:p>
    <w:p w:rsidR="008D5960" w:rsidRPr="008D5960" w:rsidRDefault="008D5960" w:rsidP="000E764E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E764E" w:rsidRPr="008A47D4" w:rsidRDefault="000E764E" w:rsidP="000E764E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A47D4">
        <w:rPr>
          <w:sz w:val="28"/>
          <w:szCs w:val="28"/>
        </w:rPr>
        <w:t>Эти три шкалы, разработанн</w:t>
      </w:r>
      <w:r w:rsidR="005B4CE2" w:rsidRPr="008A47D4">
        <w:rPr>
          <w:sz w:val="28"/>
          <w:szCs w:val="28"/>
        </w:rPr>
        <w:t>ые специально для больных с ОХП</w:t>
      </w:r>
      <w:r w:rsidRPr="008A47D4">
        <w:rPr>
          <w:sz w:val="28"/>
          <w:szCs w:val="28"/>
        </w:rPr>
        <w:t>Н и без нее, могут быть собраны в алгоритм, который удобно использовать д</w:t>
      </w:r>
      <w:r w:rsidR="005B4CE2" w:rsidRPr="008A47D4">
        <w:rPr>
          <w:sz w:val="28"/>
          <w:szCs w:val="28"/>
        </w:rPr>
        <w:t>ля определения прогноза у госпи</w:t>
      </w:r>
      <w:r w:rsidRPr="008A47D4">
        <w:rPr>
          <w:sz w:val="28"/>
          <w:szCs w:val="28"/>
        </w:rPr>
        <w:t xml:space="preserve">тализируемых </w:t>
      </w:r>
      <w:r w:rsidR="000A371F" w:rsidRPr="008A47D4">
        <w:rPr>
          <w:sz w:val="28"/>
          <w:szCs w:val="28"/>
        </w:rPr>
        <w:t>пациентов с циррозом</w:t>
      </w:r>
      <w:r w:rsidR="00D721A4">
        <w:rPr>
          <w:sz w:val="28"/>
          <w:szCs w:val="28"/>
        </w:rPr>
        <w:t xml:space="preserve"> (рисунок </w:t>
      </w:r>
      <w:r w:rsidR="00A246D2">
        <w:rPr>
          <w:sz w:val="28"/>
          <w:szCs w:val="28"/>
        </w:rPr>
        <w:t>2)</w:t>
      </w:r>
      <w:r w:rsidRPr="008A47D4">
        <w:rPr>
          <w:sz w:val="28"/>
          <w:szCs w:val="28"/>
        </w:rPr>
        <w:t xml:space="preserve">. Шкала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OF</w:t>
      </w:r>
      <w:r w:rsidR="005B4CE2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</w:rPr>
        <w:t>применяется у лиц, срочно госпитализированных с осложнениями цирроза — энцефалопатией,</w:t>
      </w:r>
      <w:r w:rsidR="00D04E75">
        <w:rPr>
          <w:sz w:val="28"/>
          <w:szCs w:val="28"/>
        </w:rPr>
        <w:t xml:space="preserve"> кровотечени</w:t>
      </w:r>
      <w:r w:rsidRPr="008A47D4">
        <w:rPr>
          <w:sz w:val="28"/>
          <w:szCs w:val="28"/>
        </w:rPr>
        <w:t>ем, инфекцией, асцитом. Если, судя по оце</w:t>
      </w:r>
      <w:r w:rsidR="005B4CE2" w:rsidRPr="008A47D4">
        <w:rPr>
          <w:sz w:val="28"/>
          <w:szCs w:val="28"/>
        </w:rPr>
        <w:t>нке, у пациента имеет место ОХП</w:t>
      </w:r>
      <w:r w:rsidRPr="008A47D4">
        <w:rPr>
          <w:sz w:val="28"/>
          <w:szCs w:val="28"/>
        </w:rPr>
        <w:t>Н, его</w:t>
      </w:r>
      <w:r w:rsidR="005B4CE2" w:rsidRPr="008A47D4">
        <w:rPr>
          <w:sz w:val="28"/>
          <w:szCs w:val="28"/>
        </w:rPr>
        <w:t xml:space="preserve"> нужно лечить в отделении интен</w:t>
      </w:r>
      <w:r w:rsidRPr="008A47D4">
        <w:rPr>
          <w:sz w:val="28"/>
          <w:szCs w:val="28"/>
        </w:rPr>
        <w:t xml:space="preserve">сивной терапии. Прогноз для них можно предположить по оценке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ACLF</w:t>
      </w:r>
      <w:r w:rsidRPr="008A47D4">
        <w:rPr>
          <w:sz w:val="28"/>
          <w:szCs w:val="28"/>
          <w:lang w:bidi="en-US"/>
        </w:rPr>
        <w:t xml:space="preserve">, </w:t>
      </w:r>
      <w:r w:rsidRPr="008A47D4">
        <w:rPr>
          <w:sz w:val="28"/>
          <w:szCs w:val="28"/>
        </w:rPr>
        <w:t xml:space="preserve">которую определяют ежедневно. Эту же шкалу можно </w:t>
      </w:r>
      <w:r w:rsidR="005205D5" w:rsidRPr="008A47D4">
        <w:rPr>
          <w:sz w:val="28"/>
          <w:szCs w:val="28"/>
        </w:rPr>
        <w:t>использовать для проверки эффек</w:t>
      </w:r>
      <w:r w:rsidRPr="008A47D4">
        <w:rPr>
          <w:sz w:val="28"/>
          <w:szCs w:val="28"/>
        </w:rPr>
        <w:t>тивности лечения в течение 3-7 дней. С другой с</w:t>
      </w:r>
      <w:r w:rsidR="005205D5" w:rsidRPr="008A47D4">
        <w:rPr>
          <w:sz w:val="28"/>
          <w:szCs w:val="28"/>
        </w:rPr>
        <w:t>тороны, если у пациента нет ОХП</w:t>
      </w:r>
      <w:r w:rsidRPr="008A47D4">
        <w:rPr>
          <w:sz w:val="28"/>
          <w:szCs w:val="28"/>
        </w:rPr>
        <w:t xml:space="preserve">Н, применяют шкалу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AD</w:t>
      </w:r>
      <w:r w:rsidRPr="008A47D4">
        <w:rPr>
          <w:sz w:val="28"/>
          <w:szCs w:val="28"/>
          <w:lang w:bidi="en-US"/>
        </w:rPr>
        <w:t xml:space="preserve">. </w:t>
      </w:r>
      <w:r w:rsidRPr="008A47D4">
        <w:rPr>
          <w:sz w:val="28"/>
          <w:szCs w:val="28"/>
        </w:rPr>
        <w:t xml:space="preserve">Исходно пациентов с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AD</w:t>
      </w:r>
      <w:r w:rsidRPr="008A47D4">
        <w:rPr>
          <w:sz w:val="28"/>
          <w:szCs w:val="28"/>
        </w:rPr>
        <w:t xml:space="preserve">&lt; 45 баллов можно рано выписать, тогда как у пациентов с </w:t>
      </w:r>
      <w:r w:rsidRPr="008A47D4">
        <w:rPr>
          <w:sz w:val="28"/>
          <w:szCs w:val="28"/>
          <w:lang w:val="en-US" w:bidi="en-US"/>
        </w:rPr>
        <w:t>CLIF</w:t>
      </w:r>
      <w:r w:rsidRPr="008A47D4">
        <w:rPr>
          <w:sz w:val="28"/>
          <w:szCs w:val="28"/>
          <w:lang w:bidi="en-US"/>
        </w:rPr>
        <w:t>-</w:t>
      </w:r>
      <w:r w:rsidRPr="008A47D4">
        <w:rPr>
          <w:sz w:val="28"/>
          <w:szCs w:val="28"/>
          <w:lang w:val="en-US" w:bidi="en-US"/>
        </w:rPr>
        <w:t>C</w:t>
      </w:r>
      <w:r w:rsidR="00F03E5D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  <w:lang w:val="en-US" w:bidi="en-US"/>
        </w:rPr>
        <w:t>AD</w:t>
      </w:r>
      <w:r w:rsidR="00880688" w:rsidRPr="008A47D4">
        <w:rPr>
          <w:sz w:val="28"/>
          <w:szCs w:val="28"/>
          <w:lang w:bidi="en-US"/>
        </w:rPr>
        <w:t xml:space="preserve"> </w:t>
      </w:r>
      <w:r w:rsidRPr="008A47D4">
        <w:rPr>
          <w:sz w:val="28"/>
          <w:szCs w:val="28"/>
        </w:rPr>
        <w:t>&gt; 60 баллов выс</w:t>
      </w:r>
      <w:r w:rsidR="005205D5" w:rsidRPr="008A47D4">
        <w:rPr>
          <w:sz w:val="28"/>
          <w:szCs w:val="28"/>
        </w:rPr>
        <w:t>ок риск прогрессирования до ОХП</w:t>
      </w:r>
      <w:r w:rsidR="00A16EC7" w:rsidRPr="008A47D4">
        <w:rPr>
          <w:sz w:val="28"/>
          <w:szCs w:val="28"/>
        </w:rPr>
        <w:t>Н, значит, их нуж</w:t>
      </w:r>
      <w:r w:rsidRPr="008A47D4">
        <w:rPr>
          <w:sz w:val="28"/>
          <w:szCs w:val="28"/>
        </w:rPr>
        <w:t>но лечить в отделении интенсивной терапии. Пациентам с оценкой 45-60 баллов показано обычн</w:t>
      </w:r>
      <w:r w:rsidR="00A246D2">
        <w:rPr>
          <w:sz w:val="28"/>
          <w:szCs w:val="28"/>
        </w:rPr>
        <w:t>ое стационарное лечение</w:t>
      </w:r>
      <w:r w:rsidRPr="008A47D4">
        <w:rPr>
          <w:sz w:val="28"/>
          <w:szCs w:val="28"/>
        </w:rPr>
        <w:t xml:space="preserve">. Несмотря на </w:t>
      </w:r>
      <w:r w:rsidR="00ED1B8F" w:rsidRPr="008A47D4">
        <w:rPr>
          <w:sz w:val="28"/>
          <w:szCs w:val="28"/>
        </w:rPr>
        <w:t>то,</w:t>
      </w:r>
      <w:r w:rsidRPr="008A47D4">
        <w:rPr>
          <w:sz w:val="28"/>
          <w:szCs w:val="28"/>
        </w:rPr>
        <w:t xml:space="preserve"> что эти шкалы важны для будущих исследований, остается еще необходимость их совершенствования, т.</w:t>
      </w:r>
      <w:r w:rsidR="005205D5" w:rsidRPr="008A47D4">
        <w:rPr>
          <w:sz w:val="28"/>
          <w:szCs w:val="28"/>
        </w:rPr>
        <w:t xml:space="preserve"> к. до сих пор наилучшая прогно</w:t>
      </w:r>
      <w:r w:rsidRPr="008A47D4">
        <w:rPr>
          <w:sz w:val="28"/>
          <w:szCs w:val="28"/>
        </w:rPr>
        <w:t>стическая ценность соо</w:t>
      </w:r>
      <w:r w:rsidR="005205D5" w:rsidRPr="008A47D4">
        <w:rPr>
          <w:sz w:val="28"/>
          <w:szCs w:val="28"/>
        </w:rPr>
        <w:t>тветствовала индексу согласован</w:t>
      </w:r>
      <w:r w:rsidRPr="008A47D4">
        <w:rPr>
          <w:sz w:val="28"/>
          <w:szCs w:val="28"/>
        </w:rPr>
        <w:t>ности 0,75.</w:t>
      </w:r>
    </w:p>
    <w:p w:rsidR="000E764E" w:rsidRPr="000E764E" w:rsidRDefault="000E764E" w:rsidP="000E7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4"/>
          <w:szCs w:val="24"/>
        </w:rPr>
      </w:pPr>
    </w:p>
    <w:p w:rsidR="00321221" w:rsidRDefault="001A452E" w:rsidP="0088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Book-Reg" w:hAnsi="Times New Roman" w:cs="Times New Roman"/>
          <w:sz w:val="24"/>
          <w:szCs w:val="24"/>
        </w:rPr>
      </w:pPr>
      <w:r>
        <w:rPr>
          <w:rFonts w:ascii="Times New Roman" w:eastAsia="PragmaticaBook-Reg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91125" cy="3857625"/>
            <wp:effectExtent l="0" t="0" r="0" b="0"/>
            <wp:docPr id="3" name="Рисунок 3" descr="L:\Задачи наука\ОХПН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Задачи наука\ОХПН\3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D8" w:rsidRDefault="003518D8" w:rsidP="001C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321221" w:rsidRPr="00C45CBE" w:rsidRDefault="00321221" w:rsidP="00C4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-Bold" w:hAnsi="Times New Roman" w:cs="Times New Roman"/>
          <w:bCs/>
          <w:sz w:val="28"/>
          <w:szCs w:val="28"/>
        </w:rPr>
      </w:pPr>
      <w:r w:rsidRPr="00C45CBE">
        <w:rPr>
          <w:rFonts w:ascii="Times New Roman" w:eastAsia="Cambria-Bold" w:hAnsi="Times New Roman" w:cs="Times New Roman"/>
          <w:bCs/>
          <w:sz w:val="28"/>
          <w:szCs w:val="28"/>
        </w:rPr>
        <w:t>Рис</w:t>
      </w:r>
      <w:r w:rsidR="003518D8" w:rsidRPr="00C45CBE">
        <w:rPr>
          <w:rFonts w:ascii="Times New Roman" w:eastAsia="Cambria-Bold" w:hAnsi="Times New Roman" w:cs="Times New Roman"/>
          <w:bCs/>
          <w:sz w:val="28"/>
          <w:szCs w:val="28"/>
        </w:rPr>
        <w:t>у</w:t>
      </w:r>
      <w:r w:rsidR="00436E60" w:rsidRPr="00C45CBE">
        <w:rPr>
          <w:rFonts w:ascii="Times New Roman" w:eastAsia="Cambria-Bold" w:hAnsi="Times New Roman" w:cs="Times New Roman"/>
          <w:bCs/>
          <w:sz w:val="28"/>
          <w:szCs w:val="28"/>
        </w:rPr>
        <w:t>нок</w:t>
      </w:r>
      <w:r w:rsidR="00A246D2">
        <w:rPr>
          <w:rFonts w:ascii="Times New Roman" w:eastAsia="Cambria-Bold" w:hAnsi="Times New Roman" w:cs="Times New Roman"/>
          <w:bCs/>
          <w:sz w:val="28"/>
          <w:szCs w:val="28"/>
        </w:rPr>
        <w:t xml:space="preserve"> 2</w:t>
      </w:r>
      <w:r w:rsidR="001C62D8" w:rsidRPr="00C45CBE">
        <w:rPr>
          <w:rFonts w:ascii="Times New Roman" w:eastAsia="Cambria-Bold" w:hAnsi="Times New Roman" w:cs="Times New Roman"/>
          <w:bCs/>
          <w:sz w:val="28"/>
          <w:szCs w:val="28"/>
        </w:rPr>
        <w:t>.</w:t>
      </w:r>
      <w:r w:rsidRPr="00C45CBE">
        <w:rPr>
          <w:rFonts w:ascii="Times New Roman" w:eastAsia="Cambria-Bold" w:hAnsi="Times New Roman" w:cs="Times New Roman"/>
          <w:bCs/>
          <w:sz w:val="28"/>
          <w:szCs w:val="28"/>
        </w:rPr>
        <w:t xml:space="preserve"> Алгоритм последовательного применения шкал EASL</w:t>
      </w:r>
      <w:r w:rsidR="001C62D8" w:rsidRPr="00C45CBE">
        <w:rPr>
          <w:rFonts w:ascii="Times New Roman" w:eastAsia="Cambria-Bold" w:hAnsi="Times New Roman" w:cs="Times New Roman"/>
          <w:bCs/>
          <w:sz w:val="28"/>
          <w:szCs w:val="28"/>
        </w:rPr>
        <w:t xml:space="preserve"> </w:t>
      </w:r>
      <w:r w:rsidRPr="00C45CBE">
        <w:rPr>
          <w:rFonts w:ascii="Times New Roman" w:eastAsia="Cambria-Bold" w:hAnsi="Times New Roman" w:cs="Times New Roman"/>
          <w:bCs/>
          <w:sz w:val="28"/>
          <w:szCs w:val="28"/>
        </w:rPr>
        <w:t>CLIF-С у пациентов с циррозом, госпитализированных с</w:t>
      </w:r>
      <w:r w:rsidR="001C62D8" w:rsidRPr="00C45CBE">
        <w:rPr>
          <w:rFonts w:ascii="Times New Roman" w:eastAsia="Cambria-Bold" w:hAnsi="Times New Roman" w:cs="Times New Roman"/>
          <w:bCs/>
          <w:sz w:val="28"/>
          <w:szCs w:val="28"/>
        </w:rPr>
        <w:t xml:space="preserve"> </w:t>
      </w:r>
      <w:r w:rsidRPr="00C45CBE">
        <w:rPr>
          <w:rFonts w:ascii="Times New Roman" w:eastAsia="Cambria-Bold" w:hAnsi="Times New Roman" w:cs="Times New Roman"/>
          <w:bCs/>
          <w:sz w:val="28"/>
          <w:szCs w:val="28"/>
        </w:rPr>
        <w:t>острой декомпенсацией</w:t>
      </w:r>
    </w:p>
    <w:p w:rsidR="00321221" w:rsidRDefault="001C62D8" w:rsidP="001C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sz w:val="24"/>
          <w:szCs w:val="24"/>
        </w:rPr>
      </w:pPr>
      <w:r w:rsidRPr="00436E60">
        <w:rPr>
          <w:rFonts w:ascii="Times New Roman" w:eastAsia="Cambria-Bold" w:hAnsi="Times New Roman" w:cs="Times New Roman"/>
          <w:sz w:val="24"/>
          <w:szCs w:val="24"/>
        </w:rPr>
        <w:t>CLIF-C ACLF — шкала ОХП</w:t>
      </w:r>
      <w:r w:rsidR="00321221" w:rsidRPr="00436E60">
        <w:rPr>
          <w:rFonts w:ascii="Times New Roman" w:eastAsia="Cambria-Bold" w:hAnsi="Times New Roman" w:cs="Times New Roman"/>
          <w:sz w:val="24"/>
          <w:szCs w:val="24"/>
        </w:rPr>
        <w:t xml:space="preserve">Н; </w:t>
      </w:r>
      <w:r w:rsidRPr="00436E60">
        <w:rPr>
          <w:rFonts w:ascii="Times New Roman" w:eastAsia="Cambria-Bold" w:hAnsi="Times New Roman" w:cs="Times New Roman"/>
          <w:sz w:val="24"/>
          <w:szCs w:val="24"/>
        </w:rPr>
        <w:t>CLIF-C AD — шкала острой деком</w:t>
      </w:r>
      <w:r w:rsidR="00436E60">
        <w:rPr>
          <w:rFonts w:ascii="Times New Roman" w:eastAsia="Cambria-Bold" w:hAnsi="Times New Roman" w:cs="Times New Roman"/>
          <w:sz w:val="24"/>
          <w:szCs w:val="24"/>
        </w:rPr>
        <w:t>пенсации; CLIF-C OF </w:t>
      </w:r>
      <w:r w:rsidR="00321221" w:rsidRPr="00436E60">
        <w:rPr>
          <w:rFonts w:ascii="Times New Roman" w:eastAsia="Cambria-Bold" w:hAnsi="Times New Roman" w:cs="Times New Roman"/>
          <w:sz w:val="24"/>
          <w:szCs w:val="24"/>
        </w:rPr>
        <w:t>— шкала</w:t>
      </w:r>
      <w:r w:rsidRPr="00436E60">
        <w:rPr>
          <w:rFonts w:ascii="Times New Roman" w:eastAsia="Cambria-Bold" w:hAnsi="Times New Roman" w:cs="Times New Roman"/>
          <w:sz w:val="24"/>
          <w:szCs w:val="24"/>
        </w:rPr>
        <w:t xml:space="preserve"> органной недостаточности; ОД — </w:t>
      </w:r>
      <w:r w:rsidR="00321221" w:rsidRPr="00436E60">
        <w:rPr>
          <w:rFonts w:ascii="Times New Roman" w:eastAsia="Cambria-Bold" w:hAnsi="Times New Roman" w:cs="Times New Roman"/>
          <w:sz w:val="24"/>
          <w:szCs w:val="24"/>
        </w:rPr>
        <w:t>острая декомпенсация.</w:t>
      </w:r>
    </w:p>
    <w:p w:rsidR="009C05CA" w:rsidRPr="00E320C7" w:rsidRDefault="009C05CA" w:rsidP="001C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sz w:val="24"/>
          <w:szCs w:val="24"/>
        </w:rPr>
      </w:pPr>
    </w:p>
    <w:p w:rsidR="007E3F01" w:rsidRPr="009C05CA" w:rsidRDefault="00C36928" w:rsidP="008A4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CA">
        <w:rPr>
          <w:rFonts w:ascii="Times New Roman" w:hAnsi="Times New Roman" w:cs="Times New Roman"/>
          <w:sz w:val="28"/>
          <w:szCs w:val="28"/>
        </w:rPr>
        <w:t>На основании исследования CANONIC разработан алгоритм для лечения пациентов с ОХПН, основанный</w:t>
      </w:r>
      <w:r w:rsidR="003C46A5" w:rsidRPr="009C05CA">
        <w:rPr>
          <w:rFonts w:ascii="Times New Roman" w:hAnsi="Times New Roman" w:cs="Times New Roman"/>
          <w:sz w:val="28"/>
          <w:szCs w:val="28"/>
        </w:rPr>
        <w:t xml:space="preserve"> на данных о</w:t>
      </w:r>
      <w:r w:rsidR="009C05CA">
        <w:rPr>
          <w:rFonts w:ascii="Times New Roman" w:hAnsi="Times New Roman" w:cs="Times New Roman"/>
          <w:sz w:val="28"/>
          <w:szCs w:val="28"/>
        </w:rPr>
        <w:t>б</w:t>
      </w:r>
      <w:r w:rsidR="003C46A5" w:rsidRPr="009C05CA">
        <w:rPr>
          <w:rFonts w:ascii="Times New Roman" w:hAnsi="Times New Roman" w:cs="Times New Roman"/>
          <w:sz w:val="28"/>
          <w:szCs w:val="28"/>
        </w:rPr>
        <w:t xml:space="preserve"> </w:t>
      </w:r>
      <w:r w:rsidRPr="009C05CA">
        <w:rPr>
          <w:rFonts w:ascii="Times New Roman" w:hAnsi="Times New Roman" w:cs="Times New Roman"/>
          <w:sz w:val="28"/>
          <w:szCs w:val="28"/>
        </w:rPr>
        <w:t>отдаленной смертности</w:t>
      </w:r>
      <w:r w:rsidR="004A27EC">
        <w:rPr>
          <w:rFonts w:ascii="Times New Roman" w:hAnsi="Times New Roman" w:cs="Times New Roman"/>
          <w:sz w:val="28"/>
          <w:szCs w:val="28"/>
        </w:rPr>
        <w:t xml:space="preserve"> (рисунок 3)</w:t>
      </w:r>
      <w:r w:rsidRPr="009C05CA">
        <w:rPr>
          <w:rFonts w:ascii="Times New Roman" w:hAnsi="Times New Roman" w:cs="Times New Roman"/>
          <w:sz w:val="28"/>
          <w:szCs w:val="28"/>
        </w:rPr>
        <w:t>.</w:t>
      </w:r>
      <w:r w:rsidR="003C46A5" w:rsidRPr="009C05CA">
        <w:rPr>
          <w:rFonts w:ascii="Times New Roman" w:hAnsi="Times New Roman" w:cs="Times New Roman"/>
          <w:sz w:val="28"/>
          <w:szCs w:val="28"/>
        </w:rPr>
        <w:t xml:space="preserve"> Первым шагом является оценка оцен</w:t>
      </w:r>
      <w:r w:rsidR="00D626EC" w:rsidRPr="009C05CA">
        <w:rPr>
          <w:rFonts w:ascii="Times New Roman" w:hAnsi="Times New Roman" w:cs="Times New Roman"/>
          <w:sz w:val="28"/>
          <w:szCs w:val="28"/>
        </w:rPr>
        <w:t xml:space="preserve">ки </w:t>
      </w:r>
      <w:r w:rsidRPr="009C05CA">
        <w:rPr>
          <w:rFonts w:ascii="Times New Roman" w:hAnsi="Times New Roman" w:cs="Times New Roman"/>
          <w:sz w:val="28"/>
          <w:szCs w:val="28"/>
        </w:rPr>
        <w:t>ОХПГ н</w:t>
      </w:r>
      <w:r w:rsidR="003C46A5" w:rsidRPr="009C05CA">
        <w:rPr>
          <w:rFonts w:ascii="Times New Roman" w:hAnsi="Times New Roman" w:cs="Times New Roman"/>
          <w:sz w:val="28"/>
          <w:szCs w:val="28"/>
        </w:rPr>
        <w:t xml:space="preserve">а 3-7 день после начала </w:t>
      </w:r>
      <w:r w:rsidRPr="009C05CA">
        <w:rPr>
          <w:rFonts w:ascii="Times New Roman" w:hAnsi="Times New Roman" w:cs="Times New Roman"/>
          <w:sz w:val="28"/>
          <w:szCs w:val="28"/>
        </w:rPr>
        <w:t>реанимационного лечения</w:t>
      </w:r>
      <w:r w:rsidR="003C46A5" w:rsidRPr="009C05CA">
        <w:rPr>
          <w:rFonts w:ascii="Times New Roman" w:hAnsi="Times New Roman" w:cs="Times New Roman"/>
          <w:sz w:val="28"/>
          <w:szCs w:val="28"/>
        </w:rPr>
        <w:t>. Трансплантацию печени следует оц</w:t>
      </w:r>
      <w:r w:rsidR="00D626EC" w:rsidRPr="009C05CA">
        <w:rPr>
          <w:rFonts w:ascii="Times New Roman" w:hAnsi="Times New Roman" w:cs="Times New Roman"/>
          <w:sz w:val="28"/>
          <w:szCs w:val="28"/>
        </w:rPr>
        <w:t xml:space="preserve">енивать у всех пациентов с </w:t>
      </w:r>
      <w:r w:rsidRPr="009C05CA">
        <w:rPr>
          <w:rFonts w:ascii="Times New Roman" w:hAnsi="Times New Roman" w:cs="Times New Roman"/>
          <w:sz w:val="28"/>
          <w:szCs w:val="28"/>
        </w:rPr>
        <w:t>ОХПГ</w:t>
      </w:r>
      <w:r w:rsidR="00D626EC" w:rsidRPr="009C05CA">
        <w:rPr>
          <w:rFonts w:ascii="Times New Roman" w:hAnsi="Times New Roman" w:cs="Times New Roman"/>
          <w:sz w:val="28"/>
          <w:szCs w:val="28"/>
        </w:rPr>
        <w:t xml:space="preserve"> </w:t>
      </w:r>
      <w:r w:rsidRPr="009C05CA">
        <w:rPr>
          <w:rFonts w:ascii="Times New Roman" w:hAnsi="Times New Roman" w:cs="Times New Roman"/>
          <w:sz w:val="28"/>
          <w:szCs w:val="28"/>
        </w:rPr>
        <w:t>и</w:t>
      </w:r>
      <w:r w:rsidR="003C46A5" w:rsidRPr="009C05CA">
        <w:rPr>
          <w:rFonts w:ascii="Times New Roman" w:hAnsi="Times New Roman" w:cs="Times New Roman"/>
          <w:sz w:val="28"/>
          <w:szCs w:val="28"/>
        </w:rPr>
        <w:t>з-за высокого уровня смертности за 90 дней (&gt; 20%). Трансплантация печени должна быть выполнена как можно раньше у</w:t>
      </w:r>
      <w:r w:rsidR="00D626EC" w:rsidRPr="009C05CA">
        <w:rPr>
          <w:rFonts w:ascii="Times New Roman" w:hAnsi="Times New Roman" w:cs="Times New Roman"/>
          <w:sz w:val="28"/>
          <w:szCs w:val="28"/>
        </w:rPr>
        <w:t xml:space="preserve"> пациентов </w:t>
      </w:r>
      <w:r w:rsidRPr="009C05CA">
        <w:rPr>
          <w:rFonts w:ascii="Times New Roman" w:hAnsi="Times New Roman" w:cs="Times New Roman"/>
          <w:sz w:val="28"/>
          <w:szCs w:val="28"/>
        </w:rPr>
        <w:t>с</w:t>
      </w:r>
      <w:r w:rsidR="00D626EC" w:rsidRPr="009C05CA">
        <w:rPr>
          <w:rFonts w:ascii="Times New Roman" w:hAnsi="Times New Roman" w:cs="Times New Roman"/>
          <w:sz w:val="28"/>
          <w:szCs w:val="28"/>
        </w:rPr>
        <w:t xml:space="preserve"> </w:t>
      </w:r>
      <w:r w:rsidRPr="009C05CA">
        <w:rPr>
          <w:rFonts w:ascii="Times New Roman" w:hAnsi="Times New Roman" w:cs="Times New Roman"/>
          <w:sz w:val="28"/>
          <w:szCs w:val="28"/>
        </w:rPr>
        <w:t>ОХПГ 2-й</w:t>
      </w:r>
      <w:r w:rsidR="00D626EC" w:rsidRPr="009C05CA">
        <w:rPr>
          <w:rFonts w:ascii="Times New Roman" w:hAnsi="Times New Roman" w:cs="Times New Roman"/>
          <w:sz w:val="28"/>
          <w:szCs w:val="28"/>
        </w:rPr>
        <w:t xml:space="preserve"> и </w:t>
      </w:r>
      <w:r w:rsidR="003C46A5" w:rsidRPr="009C05CA">
        <w:rPr>
          <w:rFonts w:ascii="Times New Roman" w:hAnsi="Times New Roman" w:cs="Times New Roman"/>
          <w:sz w:val="28"/>
          <w:szCs w:val="28"/>
        </w:rPr>
        <w:t>3-й степени, так как они подвержены значительному риску краткосрочной (28-дневной) смертности. В случае противопоказаний к трансплант</w:t>
      </w:r>
      <w:r w:rsidR="00D626EC" w:rsidRPr="009C05CA">
        <w:rPr>
          <w:rFonts w:ascii="Times New Roman" w:hAnsi="Times New Roman" w:cs="Times New Roman"/>
          <w:sz w:val="28"/>
          <w:szCs w:val="28"/>
        </w:rPr>
        <w:t xml:space="preserve">ации печени присутствие </w:t>
      </w:r>
      <w:r w:rsidR="009C05CA" w:rsidRPr="009C05CA">
        <w:rPr>
          <w:rFonts w:ascii="Times New Roman" w:hAnsi="Times New Roman" w:cs="Times New Roman"/>
          <w:sz w:val="28"/>
          <w:szCs w:val="28"/>
        </w:rPr>
        <w:t>недостаточност</w:t>
      </w:r>
      <w:r w:rsidR="009C05CA">
        <w:rPr>
          <w:rFonts w:ascii="Times New Roman" w:hAnsi="Times New Roman" w:cs="Times New Roman"/>
          <w:sz w:val="28"/>
          <w:szCs w:val="28"/>
        </w:rPr>
        <w:t xml:space="preserve">и </w:t>
      </w:r>
      <w:r w:rsidR="00D626EC" w:rsidRPr="009C05CA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9C05CA">
        <w:rPr>
          <w:rFonts w:ascii="Times New Roman" w:hAnsi="Times New Roman" w:cs="Times New Roman"/>
          <w:sz w:val="28"/>
          <w:szCs w:val="28"/>
        </w:rPr>
        <w:t>и</w:t>
      </w:r>
      <w:r w:rsidR="003C46A5" w:rsidRPr="009C05CA">
        <w:rPr>
          <w:rFonts w:ascii="Times New Roman" w:hAnsi="Times New Roman" w:cs="Times New Roman"/>
          <w:sz w:val="28"/>
          <w:szCs w:val="28"/>
        </w:rPr>
        <w:t xml:space="preserve">ли больше </w:t>
      </w:r>
      <w:r w:rsidR="009C05C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C46A5" w:rsidRPr="009C05CA">
        <w:rPr>
          <w:rFonts w:ascii="Times New Roman" w:hAnsi="Times New Roman" w:cs="Times New Roman"/>
          <w:sz w:val="28"/>
          <w:szCs w:val="28"/>
        </w:rPr>
        <w:t xml:space="preserve">или </w:t>
      </w:r>
      <w:r w:rsidRPr="009C05CA">
        <w:rPr>
          <w:rFonts w:ascii="Times New Roman" w:hAnsi="Times New Roman" w:cs="Times New Roman"/>
          <w:sz w:val="28"/>
          <w:szCs w:val="28"/>
        </w:rPr>
        <w:t xml:space="preserve">наличие по шкале </w:t>
      </w:r>
      <w:r w:rsidRPr="009C05CA">
        <w:rPr>
          <w:rFonts w:ascii="Times New Roman" w:eastAsia="Cambria-Bold" w:hAnsi="Times New Roman" w:cs="Times New Roman"/>
          <w:sz w:val="28"/>
          <w:szCs w:val="28"/>
        </w:rPr>
        <w:t xml:space="preserve">CLIF-C ACLF </w:t>
      </w:r>
      <w:r w:rsidR="003C46A5" w:rsidRPr="009C05CA">
        <w:rPr>
          <w:rFonts w:ascii="Times New Roman" w:hAnsi="Times New Roman" w:cs="Times New Roman"/>
          <w:sz w:val="28"/>
          <w:szCs w:val="28"/>
        </w:rPr>
        <w:t xml:space="preserve">&gt; 64 </w:t>
      </w:r>
      <w:r w:rsidRPr="009C05CA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3C46A5" w:rsidRPr="009C05CA">
        <w:rPr>
          <w:rFonts w:ascii="Times New Roman" w:hAnsi="Times New Roman" w:cs="Times New Roman"/>
          <w:sz w:val="28"/>
          <w:szCs w:val="28"/>
        </w:rPr>
        <w:t xml:space="preserve">на 3-7 день после </w:t>
      </w:r>
      <w:r w:rsidRPr="009C05CA">
        <w:rPr>
          <w:rFonts w:ascii="Times New Roman" w:hAnsi="Times New Roman" w:cs="Times New Roman"/>
          <w:sz w:val="28"/>
          <w:szCs w:val="28"/>
        </w:rPr>
        <w:t>установки диагноза</w:t>
      </w:r>
      <w:r w:rsidR="003C46A5" w:rsidRPr="009C05CA">
        <w:rPr>
          <w:rFonts w:ascii="Times New Roman" w:hAnsi="Times New Roman" w:cs="Times New Roman"/>
          <w:sz w:val="28"/>
          <w:szCs w:val="28"/>
        </w:rPr>
        <w:t xml:space="preserve"> </w:t>
      </w:r>
      <w:r w:rsidR="009C05CA">
        <w:rPr>
          <w:rFonts w:ascii="Times New Roman" w:hAnsi="Times New Roman" w:cs="Times New Roman"/>
          <w:sz w:val="28"/>
          <w:szCs w:val="28"/>
        </w:rPr>
        <w:t>может указывать на бесполезность проводимой терапии</w:t>
      </w:r>
      <w:r w:rsidR="003C46A5" w:rsidRPr="009C05CA">
        <w:rPr>
          <w:rFonts w:ascii="Times New Roman" w:hAnsi="Times New Roman" w:cs="Times New Roman"/>
          <w:sz w:val="28"/>
          <w:szCs w:val="28"/>
        </w:rPr>
        <w:t>.</w:t>
      </w:r>
    </w:p>
    <w:p w:rsidR="003C46A5" w:rsidRPr="00D626EC" w:rsidRDefault="003C46A5" w:rsidP="003C4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sz w:val="24"/>
          <w:szCs w:val="24"/>
        </w:rPr>
      </w:pPr>
    </w:p>
    <w:p w:rsidR="003C46A5" w:rsidRDefault="00DB7F10" w:rsidP="003C4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sz w:val="24"/>
          <w:szCs w:val="24"/>
          <w:lang w:val="en-US"/>
        </w:rPr>
      </w:pPr>
      <w:r>
        <w:rPr>
          <w:rFonts w:ascii="Times New Roman" w:eastAsia="Cambria-Bold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6372225"/>
            <wp:effectExtent l="0" t="0" r="0" b="0"/>
            <wp:docPr id="2" name="Рисунок 2" descr="L:\Задачи наука\ОХПН\алгоритм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Задачи наука\ОХПН\алгоритм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EC" w:rsidRDefault="00D626EC" w:rsidP="00D6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D626EC" w:rsidRPr="00C45CBE" w:rsidRDefault="00D626EC" w:rsidP="00C4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E">
        <w:rPr>
          <w:rFonts w:ascii="Times New Roman" w:eastAsia="Cambria-Bold" w:hAnsi="Times New Roman" w:cs="Times New Roman"/>
          <w:bCs/>
          <w:sz w:val="28"/>
          <w:szCs w:val="28"/>
        </w:rPr>
        <w:t>Рисунок</w:t>
      </w:r>
      <w:r w:rsidR="004A27EC">
        <w:rPr>
          <w:rFonts w:ascii="Times New Roman" w:eastAsia="Cambria-Bold" w:hAnsi="Times New Roman" w:cs="Times New Roman"/>
          <w:bCs/>
          <w:sz w:val="28"/>
          <w:szCs w:val="28"/>
        </w:rPr>
        <w:t xml:space="preserve"> 3</w:t>
      </w:r>
      <w:r w:rsidRPr="00C45CBE">
        <w:rPr>
          <w:rFonts w:ascii="Times New Roman" w:eastAsia="Cambria-Bold" w:hAnsi="Times New Roman" w:cs="Times New Roman"/>
          <w:bCs/>
          <w:sz w:val="28"/>
          <w:szCs w:val="28"/>
        </w:rPr>
        <w:t>.</w:t>
      </w:r>
      <w:r w:rsidRPr="00C45CBE">
        <w:rPr>
          <w:rFonts w:ascii="Times New Roman" w:hAnsi="Times New Roman" w:cs="Times New Roman"/>
          <w:sz w:val="28"/>
          <w:szCs w:val="28"/>
        </w:rPr>
        <w:t xml:space="preserve"> Предлагаемый алгоритм лечения пациентов с ОХПН или декомпенсированным циррозом.</w:t>
      </w:r>
    </w:p>
    <w:p w:rsidR="009A6F2E" w:rsidRDefault="009A6F2E" w:rsidP="00D6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2E" w:rsidRDefault="009A6F2E" w:rsidP="00D51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E9">
        <w:rPr>
          <w:rFonts w:ascii="Times New Roman" w:hAnsi="Times New Roman" w:cs="Times New Roman"/>
          <w:b/>
          <w:sz w:val="28"/>
          <w:szCs w:val="28"/>
        </w:rPr>
        <w:t>Лечение ОХПН</w:t>
      </w:r>
    </w:p>
    <w:p w:rsidR="00C45CBE" w:rsidRPr="008A47D4" w:rsidRDefault="00C45CBE" w:rsidP="00C4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8A47D4">
        <w:rPr>
          <w:rFonts w:ascii="Times New Roman" w:eastAsia="PragmaticaBook-Reg" w:hAnsi="Times New Roman" w:cs="Times New Roman"/>
          <w:sz w:val="28"/>
          <w:szCs w:val="28"/>
        </w:rPr>
        <w:t>Общее лечение ОХПН включает быстрое выявление синдрома и устранение возможных провоцирующих факторов, меры против прогрессирования и использование систем поддержки органов. В целом пациенты с ОХПН должны находиться в отделении интенсивной терапии, а кандидатов на трансплантацию нужно направлять в соответствующие центры. Трансплантация печени — метод выбора при ОХПН. 1-летняя выживаемость после трансплантации составляет примерно 80 %.</w:t>
      </w:r>
    </w:p>
    <w:p w:rsidR="00D515E9" w:rsidRPr="008D5960" w:rsidRDefault="00D515E9" w:rsidP="009A6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5960">
        <w:rPr>
          <w:rFonts w:ascii="Times New Roman" w:hAnsi="Times New Roman" w:cs="Times New Roman"/>
          <w:i/>
          <w:iCs/>
          <w:sz w:val="28"/>
          <w:szCs w:val="28"/>
        </w:rPr>
        <w:t>Трансплантация печени (ТП)</w:t>
      </w:r>
    </w:p>
    <w:p w:rsidR="0075338F" w:rsidRDefault="00D515E9" w:rsidP="009A6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ТП</w:t>
      </w:r>
      <w:r w:rsidRPr="00D515E9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923CCA">
        <w:rPr>
          <w:rFonts w:ascii="Times New Roman" w:hAnsi="Times New Roman" w:cs="Times New Roman"/>
          <w:sz w:val="28"/>
          <w:szCs w:val="28"/>
        </w:rPr>
        <w:t>вариант окончательного лечения</w:t>
      </w:r>
      <w:r w:rsidRPr="00D515E9">
        <w:rPr>
          <w:rFonts w:ascii="Times New Roman" w:hAnsi="Times New Roman" w:cs="Times New Roman"/>
          <w:sz w:val="28"/>
          <w:szCs w:val="28"/>
        </w:rPr>
        <w:t xml:space="preserve"> пациентов с </w:t>
      </w:r>
      <w:r w:rsidR="006C54B8">
        <w:rPr>
          <w:rFonts w:ascii="Times New Roman" w:hAnsi="Times New Roman" w:cs="Times New Roman"/>
          <w:sz w:val="28"/>
          <w:szCs w:val="28"/>
        </w:rPr>
        <w:t>ОХПН</w:t>
      </w:r>
      <w:r w:rsidRPr="00D515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EC">
        <w:rPr>
          <w:rFonts w:ascii="Times New Roman" w:hAnsi="Times New Roman" w:cs="Times New Roman"/>
          <w:sz w:val="28"/>
          <w:szCs w:val="28"/>
        </w:rPr>
        <w:t>Е</w:t>
      </w:r>
      <w:r w:rsidRPr="00D515E9">
        <w:rPr>
          <w:rFonts w:ascii="Times New Roman" w:hAnsi="Times New Roman" w:cs="Times New Roman"/>
          <w:sz w:val="28"/>
          <w:szCs w:val="28"/>
        </w:rPr>
        <w:t>сли нет противопоказаний, все</w:t>
      </w:r>
      <w:r w:rsidR="006C54B8">
        <w:rPr>
          <w:rFonts w:ascii="Times New Roman" w:hAnsi="Times New Roman" w:cs="Times New Roman"/>
          <w:sz w:val="28"/>
          <w:szCs w:val="28"/>
        </w:rPr>
        <w:t>х пациентов с ОХПН</w:t>
      </w:r>
      <w:r w:rsidRPr="00D515E9">
        <w:rPr>
          <w:rFonts w:ascii="Times New Roman" w:hAnsi="Times New Roman" w:cs="Times New Roman"/>
          <w:sz w:val="28"/>
          <w:szCs w:val="28"/>
        </w:rPr>
        <w:t xml:space="preserve"> следует оценивать для </w:t>
      </w:r>
      <w:r w:rsidR="006C54B8">
        <w:rPr>
          <w:rFonts w:ascii="Times New Roman" w:hAnsi="Times New Roman" w:cs="Times New Roman"/>
          <w:sz w:val="28"/>
          <w:szCs w:val="28"/>
        </w:rPr>
        <w:t>возможн</w:t>
      </w:r>
      <w:r w:rsidR="0089238D">
        <w:rPr>
          <w:rFonts w:ascii="Times New Roman" w:hAnsi="Times New Roman" w:cs="Times New Roman"/>
          <w:sz w:val="28"/>
          <w:szCs w:val="28"/>
        </w:rPr>
        <w:t>ого выполнения</w:t>
      </w:r>
      <w:r w:rsidR="006C54B8">
        <w:rPr>
          <w:rFonts w:ascii="Times New Roman" w:hAnsi="Times New Roman" w:cs="Times New Roman"/>
          <w:sz w:val="28"/>
          <w:szCs w:val="28"/>
        </w:rPr>
        <w:t xml:space="preserve"> ТП</w:t>
      </w:r>
      <w:r w:rsidRPr="00D515E9">
        <w:rPr>
          <w:rFonts w:ascii="Times New Roman" w:hAnsi="Times New Roman" w:cs="Times New Roman"/>
          <w:sz w:val="28"/>
          <w:szCs w:val="28"/>
        </w:rPr>
        <w:t xml:space="preserve">. </w:t>
      </w:r>
      <w:r w:rsidR="006C54B8">
        <w:rPr>
          <w:rFonts w:ascii="Times New Roman" w:hAnsi="Times New Roman" w:cs="Times New Roman"/>
          <w:sz w:val="28"/>
          <w:szCs w:val="28"/>
        </w:rPr>
        <w:t>Применение ТП</w:t>
      </w:r>
      <w:r w:rsidRPr="00D515E9">
        <w:rPr>
          <w:rFonts w:ascii="Times New Roman" w:hAnsi="Times New Roman" w:cs="Times New Roman"/>
          <w:sz w:val="28"/>
          <w:szCs w:val="28"/>
        </w:rPr>
        <w:t xml:space="preserve"> </w:t>
      </w:r>
      <w:r w:rsidR="006C54B8">
        <w:rPr>
          <w:rFonts w:ascii="Times New Roman" w:hAnsi="Times New Roman" w:cs="Times New Roman"/>
          <w:sz w:val="28"/>
          <w:szCs w:val="28"/>
        </w:rPr>
        <w:t>с целью лечения ОХПН</w:t>
      </w:r>
      <w:r w:rsidRPr="00D515E9">
        <w:rPr>
          <w:rFonts w:ascii="Times New Roman" w:hAnsi="Times New Roman" w:cs="Times New Roman"/>
          <w:sz w:val="28"/>
          <w:szCs w:val="28"/>
        </w:rPr>
        <w:t xml:space="preserve"> затруд</w:t>
      </w:r>
      <w:r w:rsidR="0075338F">
        <w:rPr>
          <w:rFonts w:ascii="Times New Roman" w:hAnsi="Times New Roman" w:cs="Times New Roman"/>
          <w:sz w:val="28"/>
          <w:szCs w:val="28"/>
        </w:rPr>
        <w:t>няется</w:t>
      </w:r>
      <w:r w:rsidRPr="00D515E9">
        <w:rPr>
          <w:rFonts w:ascii="Times New Roman" w:hAnsi="Times New Roman" w:cs="Times New Roman"/>
          <w:sz w:val="28"/>
          <w:szCs w:val="28"/>
        </w:rPr>
        <w:t xml:space="preserve"> </w:t>
      </w:r>
      <w:r w:rsidR="0089238D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4B8">
        <w:rPr>
          <w:rFonts w:ascii="Times New Roman" w:hAnsi="Times New Roman" w:cs="Times New Roman"/>
          <w:sz w:val="28"/>
          <w:szCs w:val="28"/>
        </w:rPr>
        <w:t>д</w:t>
      </w:r>
      <w:r w:rsidRPr="00D515E9">
        <w:rPr>
          <w:rFonts w:ascii="Times New Roman" w:hAnsi="Times New Roman" w:cs="Times New Roman"/>
          <w:sz w:val="28"/>
          <w:szCs w:val="28"/>
        </w:rPr>
        <w:t xml:space="preserve">оноров, а также </w:t>
      </w:r>
      <w:r w:rsidR="006C54B8">
        <w:rPr>
          <w:rFonts w:ascii="Times New Roman" w:hAnsi="Times New Roman" w:cs="Times New Roman"/>
          <w:sz w:val="28"/>
          <w:szCs w:val="28"/>
        </w:rPr>
        <w:t>большим количеством противопоказаний</w:t>
      </w:r>
      <w:r w:rsidRPr="00D515E9">
        <w:rPr>
          <w:rFonts w:ascii="Times New Roman" w:hAnsi="Times New Roman" w:cs="Times New Roman"/>
          <w:sz w:val="28"/>
          <w:szCs w:val="28"/>
        </w:rPr>
        <w:t xml:space="preserve">. Как описано выше, </w:t>
      </w:r>
      <w:r w:rsidR="004A27EC">
        <w:rPr>
          <w:rFonts w:ascii="Times New Roman" w:hAnsi="Times New Roman" w:cs="Times New Roman"/>
          <w:sz w:val="28"/>
          <w:szCs w:val="28"/>
        </w:rPr>
        <w:t>высокие показатели</w:t>
      </w:r>
      <w:r w:rsidR="0075338F">
        <w:rPr>
          <w:rFonts w:ascii="Times New Roman" w:hAnsi="Times New Roman" w:cs="Times New Roman"/>
          <w:sz w:val="28"/>
          <w:szCs w:val="28"/>
        </w:rPr>
        <w:t xml:space="preserve"> по шкале </w:t>
      </w:r>
      <w:r w:rsidRPr="00D515E9">
        <w:rPr>
          <w:rFonts w:ascii="Times New Roman" w:hAnsi="Times New Roman" w:cs="Times New Roman"/>
          <w:sz w:val="28"/>
          <w:szCs w:val="28"/>
        </w:rPr>
        <w:t>CLIF-C ACLF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EC">
        <w:rPr>
          <w:rFonts w:ascii="Times New Roman" w:hAnsi="Times New Roman" w:cs="Times New Roman"/>
          <w:sz w:val="28"/>
          <w:szCs w:val="28"/>
        </w:rPr>
        <w:t>предполагают</w:t>
      </w:r>
      <w:r w:rsidRPr="00D515E9">
        <w:rPr>
          <w:rFonts w:ascii="Times New Roman" w:hAnsi="Times New Roman" w:cs="Times New Roman"/>
          <w:sz w:val="28"/>
          <w:szCs w:val="28"/>
        </w:rPr>
        <w:t xml:space="preserve"> бесполезность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8F">
        <w:rPr>
          <w:rFonts w:ascii="Times New Roman" w:hAnsi="Times New Roman" w:cs="Times New Roman"/>
          <w:sz w:val="28"/>
          <w:szCs w:val="28"/>
        </w:rPr>
        <w:t>дальнейшего специфического лечения</w:t>
      </w:r>
      <w:r w:rsidR="00264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7EC" w:rsidRDefault="0075338F" w:rsidP="004A2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E9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отдаленных последствий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у пациентов с </w:t>
      </w:r>
      <w:r>
        <w:rPr>
          <w:rFonts w:ascii="Times New Roman" w:hAnsi="Times New Roman" w:cs="Times New Roman"/>
          <w:sz w:val="28"/>
          <w:szCs w:val="28"/>
        </w:rPr>
        <w:t>ОХПН</w:t>
      </w:r>
      <w:r w:rsidR="00D515E9">
        <w:rPr>
          <w:rFonts w:ascii="Times New Roman" w:hAnsi="Times New Roman" w:cs="Times New Roman"/>
          <w:sz w:val="28"/>
          <w:szCs w:val="28"/>
        </w:rPr>
        <w:t xml:space="preserve"> </w:t>
      </w:r>
      <w:r w:rsidR="005C590F">
        <w:rPr>
          <w:rFonts w:ascii="Times New Roman" w:hAnsi="Times New Roman" w:cs="Times New Roman"/>
          <w:sz w:val="28"/>
          <w:szCs w:val="28"/>
        </w:rPr>
        <w:t>был</w:t>
      </w:r>
      <w:r w:rsidR="004A27EC">
        <w:rPr>
          <w:rFonts w:ascii="Times New Roman" w:hAnsi="Times New Roman" w:cs="Times New Roman"/>
          <w:sz w:val="28"/>
          <w:szCs w:val="28"/>
        </w:rPr>
        <w:t>а</w:t>
      </w:r>
      <w:r w:rsidR="005C590F">
        <w:rPr>
          <w:rFonts w:ascii="Times New Roman" w:hAnsi="Times New Roman" w:cs="Times New Roman"/>
          <w:sz w:val="28"/>
          <w:szCs w:val="28"/>
        </w:rPr>
        <w:t xml:space="preserve"> затруднен</w:t>
      </w:r>
      <w:r w:rsidR="004A27EC">
        <w:rPr>
          <w:rFonts w:ascii="Times New Roman" w:hAnsi="Times New Roman" w:cs="Times New Roman"/>
          <w:sz w:val="28"/>
          <w:szCs w:val="28"/>
        </w:rPr>
        <w:t>а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</w:t>
      </w:r>
      <w:r w:rsidR="005C590F">
        <w:rPr>
          <w:rFonts w:ascii="Times New Roman" w:hAnsi="Times New Roman" w:cs="Times New Roman"/>
          <w:sz w:val="28"/>
          <w:szCs w:val="28"/>
        </w:rPr>
        <w:t>ввиду различных подходов к определению</w:t>
      </w:r>
      <w:r w:rsidR="00512DAA">
        <w:rPr>
          <w:rFonts w:ascii="Times New Roman" w:hAnsi="Times New Roman" w:cs="Times New Roman"/>
          <w:sz w:val="28"/>
          <w:szCs w:val="28"/>
        </w:rPr>
        <w:t xml:space="preserve"> ОХПН</w:t>
      </w:r>
      <w:r w:rsidR="00D515E9">
        <w:rPr>
          <w:rFonts w:ascii="Times New Roman" w:hAnsi="Times New Roman" w:cs="Times New Roman"/>
          <w:sz w:val="28"/>
          <w:szCs w:val="28"/>
        </w:rPr>
        <w:t xml:space="preserve"> </w:t>
      </w:r>
      <w:r w:rsidR="00E52BB5">
        <w:rPr>
          <w:rFonts w:ascii="Times New Roman" w:hAnsi="Times New Roman" w:cs="Times New Roman"/>
          <w:sz w:val="28"/>
          <w:szCs w:val="28"/>
        </w:rPr>
        <w:t xml:space="preserve">и </w:t>
      </w:r>
      <w:r w:rsidR="00512DAA">
        <w:rPr>
          <w:rFonts w:ascii="Times New Roman" w:hAnsi="Times New Roman" w:cs="Times New Roman"/>
          <w:sz w:val="28"/>
          <w:szCs w:val="28"/>
        </w:rPr>
        <w:t>небольшого количества исследований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. </w:t>
      </w:r>
      <w:r w:rsidR="000A4F34">
        <w:rPr>
          <w:rFonts w:ascii="Times New Roman" w:hAnsi="Times New Roman" w:cs="Times New Roman"/>
          <w:sz w:val="28"/>
          <w:szCs w:val="28"/>
        </w:rPr>
        <w:t>В рамках исследования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CANONIC</w:t>
      </w:r>
      <w:r w:rsidR="00D515E9">
        <w:rPr>
          <w:rFonts w:ascii="Times New Roman" w:hAnsi="Times New Roman" w:cs="Times New Roman"/>
          <w:sz w:val="28"/>
          <w:szCs w:val="28"/>
        </w:rPr>
        <w:t xml:space="preserve"> </w:t>
      </w:r>
      <w:r w:rsidR="000A4F34">
        <w:rPr>
          <w:rFonts w:ascii="Times New Roman" w:hAnsi="Times New Roman" w:cs="Times New Roman"/>
          <w:sz w:val="28"/>
          <w:szCs w:val="28"/>
        </w:rPr>
        <w:t>лишь немногому количеству пациентов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</w:t>
      </w:r>
      <w:r w:rsidR="000A4F34">
        <w:rPr>
          <w:rFonts w:ascii="Times New Roman" w:hAnsi="Times New Roman" w:cs="Times New Roman"/>
          <w:sz w:val="28"/>
          <w:szCs w:val="28"/>
        </w:rPr>
        <w:t>была осуществлена ТП -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9% </w:t>
      </w:r>
      <w:r w:rsidR="00E52BB5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0A4F34">
        <w:rPr>
          <w:rFonts w:ascii="Times New Roman" w:hAnsi="Times New Roman" w:cs="Times New Roman"/>
          <w:sz w:val="28"/>
          <w:szCs w:val="28"/>
        </w:rPr>
        <w:t>до</w:t>
      </w:r>
      <w:r w:rsidR="00D515E9">
        <w:rPr>
          <w:rFonts w:ascii="Times New Roman" w:hAnsi="Times New Roman" w:cs="Times New Roman"/>
          <w:sz w:val="28"/>
          <w:szCs w:val="28"/>
        </w:rPr>
        <w:t xml:space="preserve"> </w:t>
      </w:r>
      <w:r w:rsidR="00E52BB5">
        <w:rPr>
          <w:rFonts w:ascii="Times New Roman" w:hAnsi="Times New Roman" w:cs="Times New Roman"/>
          <w:sz w:val="28"/>
          <w:szCs w:val="28"/>
        </w:rPr>
        <w:t>28 дней,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15% </w:t>
      </w:r>
      <w:r w:rsidR="004A27EC">
        <w:rPr>
          <w:rFonts w:ascii="Times New Roman" w:hAnsi="Times New Roman" w:cs="Times New Roman"/>
          <w:sz w:val="28"/>
          <w:szCs w:val="28"/>
        </w:rPr>
        <w:t xml:space="preserve">- </w:t>
      </w:r>
      <w:r w:rsidR="000A4F34">
        <w:rPr>
          <w:rFonts w:ascii="Times New Roman" w:hAnsi="Times New Roman" w:cs="Times New Roman"/>
          <w:sz w:val="28"/>
          <w:szCs w:val="28"/>
        </w:rPr>
        <w:t>до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90 дней </w:t>
      </w:r>
      <w:r w:rsidR="000A4F34">
        <w:rPr>
          <w:rFonts w:ascii="Times New Roman" w:hAnsi="Times New Roman" w:cs="Times New Roman"/>
          <w:sz w:val="28"/>
          <w:szCs w:val="28"/>
        </w:rPr>
        <w:t xml:space="preserve">от </w:t>
      </w:r>
      <w:r w:rsidR="004A27EC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0A4F34">
        <w:rPr>
          <w:rFonts w:ascii="Times New Roman" w:hAnsi="Times New Roman" w:cs="Times New Roman"/>
          <w:sz w:val="28"/>
          <w:szCs w:val="28"/>
        </w:rPr>
        <w:t>поступления</w:t>
      </w:r>
      <w:r w:rsidR="00D515E9" w:rsidRPr="00D515E9">
        <w:rPr>
          <w:rFonts w:ascii="Times New Roman" w:hAnsi="Times New Roman" w:cs="Times New Roman"/>
          <w:sz w:val="28"/>
          <w:szCs w:val="28"/>
        </w:rPr>
        <w:t>. У пациентов</w:t>
      </w:r>
      <w:r w:rsidR="00871967">
        <w:rPr>
          <w:rFonts w:ascii="Times New Roman" w:hAnsi="Times New Roman" w:cs="Times New Roman"/>
          <w:sz w:val="28"/>
          <w:szCs w:val="28"/>
        </w:rPr>
        <w:t xml:space="preserve"> </w:t>
      </w:r>
      <w:r w:rsidR="00E52BB5">
        <w:rPr>
          <w:rFonts w:ascii="Times New Roman" w:hAnsi="Times New Roman" w:cs="Times New Roman"/>
          <w:sz w:val="28"/>
          <w:szCs w:val="28"/>
        </w:rPr>
        <w:t>с ОХПН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2</w:t>
      </w:r>
      <w:r w:rsidR="00E52BB5">
        <w:rPr>
          <w:rFonts w:ascii="Times New Roman" w:hAnsi="Times New Roman" w:cs="Times New Roman"/>
          <w:sz w:val="28"/>
          <w:szCs w:val="28"/>
        </w:rPr>
        <w:t>-й и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3</w:t>
      </w:r>
      <w:r w:rsidR="00E52BB5">
        <w:rPr>
          <w:rFonts w:ascii="Times New Roman" w:hAnsi="Times New Roman" w:cs="Times New Roman"/>
          <w:sz w:val="28"/>
          <w:szCs w:val="28"/>
        </w:rPr>
        <w:t>-й градации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выживаемость без </w:t>
      </w:r>
      <w:r w:rsidR="00E52BB5">
        <w:rPr>
          <w:rFonts w:ascii="Times New Roman" w:hAnsi="Times New Roman" w:cs="Times New Roman"/>
          <w:sz w:val="28"/>
          <w:szCs w:val="28"/>
        </w:rPr>
        <w:t>ТП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</w:t>
      </w:r>
      <w:r w:rsidR="004A27EC">
        <w:rPr>
          <w:rFonts w:ascii="Times New Roman" w:hAnsi="Times New Roman" w:cs="Times New Roman"/>
          <w:sz w:val="28"/>
          <w:szCs w:val="28"/>
        </w:rPr>
        <w:t>составляла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&lt;20%, </w:t>
      </w:r>
      <w:r w:rsidR="004A27EC">
        <w:rPr>
          <w:rFonts w:ascii="Times New Roman" w:hAnsi="Times New Roman" w:cs="Times New Roman"/>
          <w:sz w:val="28"/>
          <w:szCs w:val="28"/>
        </w:rPr>
        <w:t>в тоже время</w:t>
      </w:r>
      <w:r w:rsidR="00871967">
        <w:rPr>
          <w:rFonts w:ascii="Times New Roman" w:hAnsi="Times New Roman" w:cs="Times New Roman"/>
          <w:sz w:val="28"/>
          <w:szCs w:val="28"/>
        </w:rPr>
        <w:t xml:space="preserve"> </w:t>
      </w:r>
      <w:r w:rsidR="00E52BB5">
        <w:rPr>
          <w:rFonts w:ascii="Times New Roman" w:hAnsi="Times New Roman" w:cs="Times New Roman"/>
          <w:sz w:val="28"/>
          <w:szCs w:val="28"/>
        </w:rPr>
        <w:t>отмечали повышение выживаемости до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80% </w:t>
      </w:r>
      <w:r w:rsidR="00E52BB5">
        <w:rPr>
          <w:rFonts w:ascii="Times New Roman" w:hAnsi="Times New Roman" w:cs="Times New Roman"/>
          <w:sz w:val="28"/>
          <w:szCs w:val="28"/>
        </w:rPr>
        <w:t>в тех группах пациентов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, </w:t>
      </w:r>
      <w:r w:rsidR="00E52BB5">
        <w:rPr>
          <w:rFonts w:ascii="Times New Roman" w:hAnsi="Times New Roman" w:cs="Times New Roman"/>
          <w:sz w:val="28"/>
          <w:szCs w:val="28"/>
        </w:rPr>
        <w:t>где была осуществлена ТП.</w:t>
      </w:r>
      <w:r w:rsidR="00871967">
        <w:rPr>
          <w:rFonts w:ascii="Times New Roman" w:hAnsi="Times New Roman" w:cs="Times New Roman"/>
          <w:sz w:val="28"/>
          <w:szCs w:val="28"/>
        </w:rPr>
        <w:t xml:space="preserve"> </w:t>
      </w:r>
      <w:r w:rsidR="00E52BB5">
        <w:rPr>
          <w:rFonts w:ascii="Times New Roman" w:hAnsi="Times New Roman" w:cs="Times New Roman"/>
          <w:sz w:val="28"/>
          <w:szCs w:val="28"/>
        </w:rPr>
        <w:t>Полученные результаты сопоставимы с группой пациентов без ОХПН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. </w:t>
      </w:r>
      <w:r w:rsidR="007F01BD">
        <w:rPr>
          <w:rFonts w:ascii="Times New Roman" w:hAnsi="Times New Roman" w:cs="Times New Roman"/>
          <w:sz w:val="28"/>
          <w:szCs w:val="28"/>
        </w:rPr>
        <w:t xml:space="preserve">В этой группе среднее время между установкой диагноза и трансплантацией составила 11 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(1-28) дней. </w:t>
      </w:r>
      <w:r w:rsidR="004A27EC">
        <w:rPr>
          <w:rFonts w:ascii="Times New Roman" w:hAnsi="Times New Roman" w:cs="Times New Roman"/>
          <w:sz w:val="28"/>
          <w:szCs w:val="28"/>
        </w:rPr>
        <w:t>И</w:t>
      </w:r>
      <w:r w:rsidR="00D515E9" w:rsidRPr="00D515E9">
        <w:rPr>
          <w:rFonts w:ascii="Times New Roman" w:hAnsi="Times New Roman" w:cs="Times New Roman"/>
          <w:sz w:val="28"/>
          <w:szCs w:val="28"/>
        </w:rPr>
        <w:t>сследование, в котором приняли участие 238 пациентов</w:t>
      </w:r>
      <w:r w:rsidR="007F01BD">
        <w:rPr>
          <w:rFonts w:ascii="Times New Roman" w:hAnsi="Times New Roman" w:cs="Times New Roman"/>
          <w:sz w:val="28"/>
          <w:szCs w:val="28"/>
        </w:rPr>
        <w:t xml:space="preserve">, </w:t>
      </w:r>
      <w:r w:rsidR="00D515E9" w:rsidRPr="00D515E9">
        <w:rPr>
          <w:rFonts w:ascii="Times New Roman" w:hAnsi="Times New Roman" w:cs="Times New Roman"/>
          <w:sz w:val="28"/>
          <w:szCs w:val="28"/>
        </w:rPr>
        <w:t>показал</w:t>
      </w:r>
      <w:r w:rsidR="007F01BD">
        <w:rPr>
          <w:rFonts w:ascii="Times New Roman" w:hAnsi="Times New Roman" w:cs="Times New Roman"/>
          <w:sz w:val="28"/>
          <w:szCs w:val="28"/>
        </w:rPr>
        <w:t>о 5-летнюю выживаемость после ТП более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80% для п</w:t>
      </w:r>
      <w:r>
        <w:rPr>
          <w:rFonts w:ascii="Times New Roman" w:hAnsi="Times New Roman" w:cs="Times New Roman"/>
          <w:sz w:val="28"/>
          <w:szCs w:val="28"/>
        </w:rPr>
        <w:t xml:space="preserve">ациентов, </w:t>
      </w:r>
      <w:r w:rsidR="007F01BD">
        <w:rPr>
          <w:rFonts w:ascii="Times New Roman" w:hAnsi="Times New Roman" w:cs="Times New Roman"/>
          <w:sz w:val="28"/>
          <w:szCs w:val="28"/>
        </w:rPr>
        <w:t>не имеющих противопоказаний к трансплантации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5E9" w:rsidRPr="00D51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E9" w:rsidRDefault="00D515E9" w:rsidP="004A2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E9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4A27EC">
        <w:rPr>
          <w:rFonts w:ascii="Times New Roman" w:hAnsi="Times New Roman" w:cs="Times New Roman"/>
          <w:sz w:val="28"/>
          <w:szCs w:val="28"/>
        </w:rPr>
        <w:t>выполнения ТП</w:t>
      </w:r>
      <w:r w:rsidR="00EA5F9F">
        <w:rPr>
          <w:rFonts w:ascii="Times New Roman" w:hAnsi="Times New Roman" w:cs="Times New Roman"/>
          <w:sz w:val="28"/>
          <w:szCs w:val="28"/>
        </w:rPr>
        <w:t xml:space="preserve"> имеет решающее значение у пациентов с ОХПН, так как эти пациенты имеют небольшое «терапевтическое окно» и</w:t>
      </w:r>
      <w:r w:rsidRPr="00D515E9">
        <w:rPr>
          <w:rFonts w:ascii="Times New Roman" w:hAnsi="Times New Roman" w:cs="Times New Roman"/>
          <w:sz w:val="28"/>
          <w:szCs w:val="28"/>
        </w:rPr>
        <w:t xml:space="preserve">з-за риска развития </w:t>
      </w:r>
      <w:r w:rsidR="00EA5F9F">
        <w:rPr>
          <w:rFonts w:ascii="Times New Roman" w:hAnsi="Times New Roman" w:cs="Times New Roman"/>
          <w:sz w:val="28"/>
          <w:szCs w:val="28"/>
        </w:rPr>
        <w:t>полиорганной недостаточности</w:t>
      </w:r>
      <w:r w:rsidRPr="00D515E9">
        <w:rPr>
          <w:rFonts w:ascii="Times New Roman" w:hAnsi="Times New Roman" w:cs="Times New Roman"/>
          <w:sz w:val="28"/>
          <w:szCs w:val="28"/>
        </w:rPr>
        <w:t xml:space="preserve">, </w:t>
      </w:r>
      <w:r w:rsidR="00EA5F9F">
        <w:rPr>
          <w:rFonts w:ascii="Times New Roman" w:hAnsi="Times New Roman" w:cs="Times New Roman"/>
          <w:sz w:val="28"/>
          <w:szCs w:val="28"/>
        </w:rPr>
        <w:t xml:space="preserve">исключающей </w:t>
      </w:r>
      <w:r w:rsidR="004A27EC">
        <w:rPr>
          <w:rFonts w:ascii="Times New Roman" w:hAnsi="Times New Roman" w:cs="Times New Roman"/>
          <w:sz w:val="28"/>
          <w:szCs w:val="28"/>
        </w:rPr>
        <w:t>мероприятия по ТП</w:t>
      </w:r>
      <w:r w:rsidRPr="00D515E9">
        <w:rPr>
          <w:rFonts w:ascii="Times New Roman" w:hAnsi="Times New Roman" w:cs="Times New Roman"/>
          <w:sz w:val="28"/>
          <w:szCs w:val="28"/>
        </w:rPr>
        <w:t>. Учитывая хорошие результаты</w:t>
      </w:r>
      <w:r w:rsidR="0089238D">
        <w:rPr>
          <w:rFonts w:ascii="Times New Roman" w:hAnsi="Times New Roman" w:cs="Times New Roman"/>
          <w:sz w:val="28"/>
          <w:szCs w:val="28"/>
        </w:rPr>
        <w:t>,</w:t>
      </w:r>
      <w:r w:rsidR="00EA5F9F">
        <w:rPr>
          <w:rFonts w:ascii="Times New Roman" w:hAnsi="Times New Roman" w:cs="Times New Roman"/>
          <w:sz w:val="28"/>
          <w:szCs w:val="28"/>
        </w:rPr>
        <w:t xml:space="preserve"> согласно литературным данным</w:t>
      </w:r>
      <w:r w:rsidRPr="00D515E9">
        <w:rPr>
          <w:rFonts w:ascii="Times New Roman" w:hAnsi="Times New Roman" w:cs="Times New Roman"/>
          <w:sz w:val="28"/>
          <w:szCs w:val="28"/>
        </w:rPr>
        <w:t xml:space="preserve">, </w:t>
      </w:r>
      <w:r w:rsidR="00EA5F9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515E9">
        <w:rPr>
          <w:rFonts w:ascii="Times New Roman" w:hAnsi="Times New Roman" w:cs="Times New Roman"/>
          <w:sz w:val="28"/>
          <w:szCs w:val="28"/>
        </w:rPr>
        <w:t>включить пациентов с высоким риском</w:t>
      </w:r>
      <w:r w:rsidR="00EA5F9F">
        <w:rPr>
          <w:rFonts w:ascii="Times New Roman" w:hAnsi="Times New Roman" w:cs="Times New Roman"/>
          <w:sz w:val="28"/>
          <w:szCs w:val="28"/>
        </w:rPr>
        <w:t xml:space="preserve"> развития ОН</w:t>
      </w:r>
      <w:r w:rsidRPr="00D515E9">
        <w:rPr>
          <w:rFonts w:ascii="Times New Roman" w:hAnsi="Times New Roman" w:cs="Times New Roman"/>
          <w:sz w:val="28"/>
          <w:szCs w:val="28"/>
        </w:rPr>
        <w:t xml:space="preserve"> </w:t>
      </w:r>
      <w:r w:rsidR="00EA5F9F">
        <w:rPr>
          <w:rFonts w:ascii="Times New Roman" w:hAnsi="Times New Roman" w:cs="Times New Roman"/>
          <w:sz w:val="28"/>
          <w:szCs w:val="28"/>
        </w:rPr>
        <w:t xml:space="preserve">в первую очередь для </w:t>
      </w:r>
      <w:r w:rsidR="004A27EC">
        <w:rPr>
          <w:rFonts w:ascii="Times New Roman" w:hAnsi="Times New Roman" w:cs="Times New Roman"/>
          <w:sz w:val="28"/>
          <w:szCs w:val="28"/>
        </w:rPr>
        <w:t>ТП</w:t>
      </w:r>
      <w:r w:rsidRPr="00D515E9">
        <w:rPr>
          <w:rFonts w:ascii="Times New Roman" w:hAnsi="Times New Roman" w:cs="Times New Roman"/>
          <w:sz w:val="28"/>
          <w:szCs w:val="28"/>
        </w:rPr>
        <w:t>.</w:t>
      </w:r>
    </w:p>
    <w:p w:rsidR="00EA5F9F" w:rsidRPr="008D5960" w:rsidRDefault="008D5960" w:rsidP="009A6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Экстракорпоральные системы</w:t>
      </w:r>
      <w:r w:rsidR="00EA5F9F" w:rsidRPr="008D5960">
        <w:rPr>
          <w:rFonts w:ascii="Times New Roman" w:hAnsi="Times New Roman" w:cs="Times New Roman"/>
          <w:i/>
          <w:iCs/>
          <w:sz w:val="28"/>
          <w:szCs w:val="28"/>
        </w:rPr>
        <w:t xml:space="preserve"> поддержки печени</w:t>
      </w:r>
    </w:p>
    <w:p w:rsidR="00581FE1" w:rsidRDefault="00581FE1" w:rsidP="004A27EC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81FE1">
        <w:rPr>
          <w:sz w:val="28"/>
          <w:szCs w:val="28"/>
        </w:rPr>
        <w:t>В лечение ОХПН применяют экстракорпоральный альбуминовый диал</w:t>
      </w:r>
      <w:r>
        <w:rPr>
          <w:sz w:val="28"/>
          <w:szCs w:val="28"/>
        </w:rPr>
        <w:t>из с помощью молекулярно-адсорб</w:t>
      </w:r>
      <w:r w:rsidRPr="00581FE1">
        <w:rPr>
          <w:sz w:val="28"/>
          <w:szCs w:val="28"/>
        </w:rPr>
        <w:t xml:space="preserve">ционной </w:t>
      </w:r>
      <w:proofErr w:type="spellStart"/>
      <w:r w:rsidRPr="00581FE1">
        <w:rPr>
          <w:sz w:val="28"/>
          <w:szCs w:val="28"/>
        </w:rPr>
        <w:t>рециркулирующей</w:t>
      </w:r>
      <w:proofErr w:type="spellEnd"/>
      <w:r w:rsidRPr="00581FE1">
        <w:rPr>
          <w:sz w:val="28"/>
          <w:szCs w:val="28"/>
        </w:rPr>
        <w:t xml:space="preserve"> системы </w:t>
      </w:r>
      <w:r w:rsidRPr="00581FE1">
        <w:rPr>
          <w:sz w:val="28"/>
          <w:szCs w:val="28"/>
          <w:lang w:bidi="en-US"/>
        </w:rPr>
        <w:t>(</w:t>
      </w:r>
      <w:r w:rsidRPr="00581FE1">
        <w:rPr>
          <w:sz w:val="28"/>
          <w:szCs w:val="28"/>
          <w:lang w:val="en-US" w:bidi="en-US"/>
        </w:rPr>
        <w:t>MARS</w:t>
      </w:r>
      <w:r w:rsidRPr="00581FE1">
        <w:rPr>
          <w:sz w:val="28"/>
          <w:szCs w:val="28"/>
          <w:lang w:bidi="en-US"/>
        </w:rPr>
        <w:t xml:space="preserve">). </w:t>
      </w:r>
      <w:r w:rsidRPr="00581FE1">
        <w:rPr>
          <w:sz w:val="28"/>
          <w:szCs w:val="28"/>
        </w:rPr>
        <w:t xml:space="preserve">Показано, что кроме снижения в плазме концентрации упомянутых веществ </w:t>
      </w:r>
      <w:r w:rsidRPr="00581FE1">
        <w:rPr>
          <w:sz w:val="28"/>
          <w:szCs w:val="28"/>
          <w:lang w:val="en-US" w:bidi="en-US"/>
        </w:rPr>
        <w:t>MARS</w:t>
      </w:r>
      <w:r>
        <w:rPr>
          <w:sz w:val="28"/>
          <w:szCs w:val="28"/>
          <w:lang w:bidi="en-US"/>
        </w:rPr>
        <w:t xml:space="preserve"> </w:t>
      </w:r>
      <w:r w:rsidRPr="00581FE1">
        <w:rPr>
          <w:sz w:val="28"/>
          <w:szCs w:val="28"/>
        </w:rPr>
        <w:t>эффективно улучшае</w:t>
      </w:r>
      <w:r>
        <w:rPr>
          <w:sz w:val="28"/>
          <w:szCs w:val="28"/>
        </w:rPr>
        <w:t>т системную гемоди</w:t>
      </w:r>
      <w:r w:rsidRPr="00581FE1">
        <w:rPr>
          <w:sz w:val="28"/>
          <w:szCs w:val="28"/>
        </w:rPr>
        <w:t xml:space="preserve">намику и облегчает тяжелую ПЭ. Однако проведенное в Европе </w:t>
      </w:r>
      <w:proofErr w:type="spellStart"/>
      <w:r w:rsidRPr="00581FE1">
        <w:rPr>
          <w:sz w:val="28"/>
          <w:szCs w:val="28"/>
        </w:rPr>
        <w:t>рандомизиро</w:t>
      </w:r>
      <w:r>
        <w:rPr>
          <w:sz w:val="28"/>
          <w:szCs w:val="28"/>
        </w:rPr>
        <w:t>ванное</w:t>
      </w:r>
      <w:proofErr w:type="spellEnd"/>
      <w:r>
        <w:rPr>
          <w:sz w:val="28"/>
          <w:szCs w:val="28"/>
        </w:rPr>
        <w:t xml:space="preserve"> многоцентровое исследова</w:t>
      </w:r>
      <w:r w:rsidRPr="00581FE1">
        <w:rPr>
          <w:sz w:val="28"/>
          <w:szCs w:val="28"/>
        </w:rPr>
        <w:t xml:space="preserve">ние, сравнивавшее </w:t>
      </w:r>
      <w:r w:rsidRPr="00581FE1">
        <w:rPr>
          <w:sz w:val="28"/>
          <w:szCs w:val="28"/>
          <w:lang w:val="en-US" w:bidi="en-US"/>
        </w:rPr>
        <w:t>MARS</w:t>
      </w:r>
      <w:r w:rsidR="0089238D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и стандартную терапию у 189 пациентов с ОХП</w:t>
      </w:r>
      <w:r w:rsidRPr="00581FE1">
        <w:rPr>
          <w:sz w:val="28"/>
          <w:szCs w:val="28"/>
        </w:rPr>
        <w:t>Н, не выяв</w:t>
      </w:r>
      <w:r w:rsidR="008D5960">
        <w:rPr>
          <w:sz w:val="28"/>
          <w:szCs w:val="28"/>
        </w:rPr>
        <w:t>ило различий в выживаемости</w:t>
      </w:r>
      <w:r w:rsidRPr="00581FE1">
        <w:rPr>
          <w:sz w:val="28"/>
          <w:szCs w:val="28"/>
        </w:rPr>
        <w:t xml:space="preserve">. Другое </w:t>
      </w:r>
      <w:proofErr w:type="spellStart"/>
      <w:r w:rsidRPr="00581FE1">
        <w:rPr>
          <w:sz w:val="28"/>
          <w:szCs w:val="28"/>
        </w:rPr>
        <w:t>рандомизированное</w:t>
      </w:r>
      <w:proofErr w:type="spellEnd"/>
      <w:r>
        <w:rPr>
          <w:sz w:val="28"/>
          <w:szCs w:val="28"/>
        </w:rPr>
        <w:t xml:space="preserve"> исследование (с исполь</w:t>
      </w:r>
      <w:r w:rsidRPr="00581FE1">
        <w:rPr>
          <w:sz w:val="28"/>
          <w:szCs w:val="28"/>
        </w:rPr>
        <w:t xml:space="preserve">зованием системы </w:t>
      </w:r>
      <w:r w:rsidRPr="00581FE1">
        <w:rPr>
          <w:sz w:val="28"/>
          <w:szCs w:val="28"/>
          <w:lang w:val="en-US" w:bidi="en-US"/>
        </w:rPr>
        <w:t>Prometheus</w:t>
      </w:r>
      <w:r w:rsidRPr="00581FE1">
        <w:rPr>
          <w:sz w:val="28"/>
          <w:szCs w:val="28"/>
          <w:lang w:bidi="en-US"/>
        </w:rPr>
        <w:t xml:space="preserve">) </w:t>
      </w:r>
      <w:r>
        <w:rPr>
          <w:sz w:val="28"/>
          <w:szCs w:val="28"/>
        </w:rPr>
        <w:t>также не показало улучшения выживаемости</w:t>
      </w:r>
      <w:r w:rsidRPr="00581FE1">
        <w:rPr>
          <w:sz w:val="28"/>
          <w:szCs w:val="28"/>
        </w:rPr>
        <w:t xml:space="preserve">. </w:t>
      </w:r>
      <w:r>
        <w:rPr>
          <w:sz w:val="28"/>
          <w:szCs w:val="28"/>
        </w:rPr>
        <w:t>Таким образом, несмотря на некоторые преимущества при ОХП</w:t>
      </w:r>
      <w:r w:rsidRPr="00581FE1">
        <w:rPr>
          <w:sz w:val="28"/>
          <w:szCs w:val="28"/>
        </w:rPr>
        <w:t>Н, в целом эффективность этих систем не определе</w:t>
      </w:r>
      <w:r>
        <w:rPr>
          <w:sz w:val="28"/>
          <w:szCs w:val="28"/>
        </w:rPr>
        <w:t>на. По аналогии с диализом в ка</w:t>
      </w:r>
      <w:r w:rsidRPr="00581FE1">
        <w:rPr>
          <w:sz w:val="28"/>
          <w:szCs w:val="28"/>
        </w:rPr>
        <w:t>честве терапевтическ</w:t>
      </w:r>
      <w:r>
        <w:rPr>
          <w:sz w:val="28"/>
          <w:szCs w:val="28"/>
        </w:rPr>
        <w:t>ого метода был предложен плазма</w:t>
      </w:r>
      <w:r w:rsidRPr="00581FE1">
        <w:rPr>
          <w:sz w:val="28"/>
          <w:szCs w:val="28"/>
        </w:rPr>
        <w:t xml:space="preserve">ферез при острой </w:t>
      </w:r>
      <w:r>
        <w:rPr>
          <w:sz w:val="28"/>
          <w:szCs w:val="28"/>
        </w:rPr>
        <w:t>печеночной недостаточности и ОХП</w:t>
      </w:r>
      <w:r w:rsidRPr="00581FE1">
        <w:rPr>
          <w:sz w:val="28"/>
          <w:szCs w:val="28"/>
        </w:rPr>
        <w:t>Н. Рандомизированное исследование у пациентов с острой печеночной недостато</w:t>
      </w:r>
      <w:r>
        <w:rPr>
          <w:sz w:val="28"/>
          <w:szCs w:val="28"/>
        </w:rPr>
        <w:t>чностью показало улучшение выжи</w:t>
      </w:r>
      <w:r w:rsidRPr="00581FE1">
        <w:rPr>
          <w:sz w:val="28"/>
          <w:szCs w:val="28"/>
        </w:rPr>
        <w:t>ваемости при плазмаферезе по сравнению с контрольной группой, пол</w:t>
      </w:r>
      <w:r>
        <w:rPr>
          <w:sz w:val="28"/>
          <w:szCs w:val="28"/>
        </w:rPr>
        <w:t xml:space="preserve">учавшей стандартное лечение. Экстракорпоральные методы </w:t>
      </w:r>
      <w:r w:rsidRPr="00581FE1">
        <w:rPr>
          <w:sz w:val="28"/>
          <w:szCs w:val="28"/>
        </w:rPr>
        <w:t xml:space="preserve">могли бы использоваться в качестве </w:t>
      </w:r>
      <w:r>
        <w:rPr>
          <w:sz w:val="28"/>
          <w:szCs w:val="28"/>
        </w:rPr>
        <w:t>подготовки к ТП</w:t>
      </w:r>
      <w:r w:rsidRPr="00581FE1">
        <w:rPr>
          <w:sz w:val="28"/>
          <w:szCs w:val="28"/>
        </w:rPr>
        <w:t xml:space="preserve"> у пациентов </w:t>
      </w:r>
      <w:r>
        <w:rPr>
          <w:sz w:val="28"/>
          <w:szCs w:val="28"/>
        </w:rPr>
        <w:t>ОХПН</w:t>
      </w:r>
      <w:r w:rsidRPr="00581FE1">
        <w:rPr>
          <w:sz w:val="28"/>
          <w:szCs w:val="28"/>
        </w:rPr>
        <w:t>.</w:t>
      </w:r>
    </w:p>
    <w:p w:rsidR="0089238D" w:rsidRDefault="0089238D" w:rsidP="004A27EC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9238D" w:rsidRDefault="0089238D" w:rsidP="004A27EC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81FE1" w:rsidRPr="008D5960" w:rsidRDefault="00581FE1" w:rsidP="009A6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960">
        <w:rPr>
          <w:rFonts w:ascii="Times New Roman" w:hAnsi="Times New Roman" w:cs="Times New Roman"/>
          <w:i/>
          <w:sz w:val="28"/>
          <w:szCs w:val="28"/>
        </w:rPr>
        <w:lastRenderedPageBreak/>
        <w:t>Патофизиологические методы лечения</w:t>
      </w:r>
    </w:p>
    <w:p w:rsidR="00E75DED" w:rsidRDefault="00581FE1" w:rsidP="0028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E1">
        <w:rPr>
          <w:rFonts w:ascii="Times New Roman" w:hAnsi="Times New Roman" w:cs="Times New Roman"/>
          <w:sz w:val="28"/>
          <w:szCs w:val="28"/>
        </w:rPr>
        <w:t xml:space="preserve">Учитывая, что в настоящее время не существует </w:t>
      </w:r>
      <w:r w:rsidR="004A27EC">
        <w:rPr>
          <w:rFonts w:ascii="Times New Roman" w:hAnsi="Times New Roman" w:cs="Times New Roman"/>
          <w:sz w:val="28"/>
          <w:szCs w:val="28"/>
        </w:rPr>
        <w:t>определенных</w:t>
      </w:r>
      <w:r w:rsidR="004313A5">
        <w:rPr>
          <w:rFonts w:ascii="Times New Roman" w:hAnsi="Times New Roman" w:cs="Times New Roman"/>
          <w:sz w:val="28"/>
          <w:szCs w:val="28"/>
        </w:rPr>
        <w:t xml:space="preserve"> </w:t>
      </w:r>
      <w:r w:rsidR="00285249">
        <w:rPr>
          <w:rFonts w:ascii="Times New Roman" w:hAnsi="Times New Roman" w:cs="Times New Roman"/>
          <w:sz w:val="28"/>
          <w:szCs w:val="28"/>
        </w:rPr>
        <w:t>методов лечения ОХПН</w:t>
      </w:r>
      <w:r w:rsidRPr="00581FE1">
        <w:rPr>
          <w:rFonts w:ascii="Times New Roman" w:hAnsi="Times New Roman" w:cs="Times New Roman"/>
          <w:sz w:val="28"/>
          <w:szCs w:val="28"/>
        </w:rPr>
        <w:t xml:space="preserve">, </w:t>
      </w:r>
      <w:r w:rsidR="004A27EC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Pr="00581FE1">
        <w:rPr>
          <w:rFonts w:ascii="Times New Roman" w:hAnsi="Times New Roman" w:cs="Times New Roman"/>
          <w:sz w:val="28"/>
          <w:szCs w:val="28"/>
        </w:rPr>
        <w:t>исследования должны основываться на потенциале</w:t>
      </w:r>
      <w:r w:rsidR="00285249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89238D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4A27EC">
        <w:rPr>
          <w:rFonts w:ascii="Times New Roman" w:hAnsi="Times New Roman" w:cs="Times New Roman"/>
          <w:sz w:val="28"/>
          <w:szCs w:val="28"/>
        </w:rPr>
        <w:t>, в основе которых лежат</w:t>
      </w:r>
      <w:r w:rsidRPr="00581FE1">
        <w:rPr>
          <w:rFonts w:ascii="Times New Roman" w:hAnsi="Times New Roman" w:cs="Times New Roman"/>
          <w:sz w:val="28"/>
          <w:szCs w:val="28"/>
        </w:rPr>
        <w:t xml:space="preserve"> </w:t>
      </w:r>
      <w:r w:rsidR="004A27EC">
        <w:rPr>
          <w:rFonts w:ascii="Times New Roman" w:hAnsi="Times New Roman" w:cs="Times New Roman"/>
          <w:sz w:val="28"/>
          <w:szCs w:val="28"/>
        </w:rPr>
        <w:t>патофизиологические механизмы</w:t>
      </w:r>
      <w:r w:rsidR="00285249">
        <w:rPr>
          <w:rFonts w:ascii="Times New Roman" w:hAnsi="Times New Roman" w:cs="Times New Roman"/>
          <w:sz w:val="28"/>
          <w:szCs w:val="28"/>
        </w:rPr>
        <w:t>,</w:t>
      </w:r>
      <w:r w:rsidR="004313A5">
        <w:rPr>
          <w:rFonts w:ascii="Times New Roman" w:hAnsi="Times New Roman" w:cs="Times New Roman"/>
          <w:sz w:val="28"/>
          <w:szCs w:val="28"/>
        </w:rPr>
        <w:t xml:space="preserve"> </w:t>
      </w:r>
      <w:r w:rsidR="004A27EC">
        <w:rPr>
          <w:rFonts w:ascii="Times New Roman" w:hAnsi="Times New Roman" w:cs="Times New Roman"/>
          <w:sz w:val="28"/>
          <w:szCs w:val="28"/>
        </w:rPr>
        <w:t>приводящие</w:t>
      </w:r>
      <w:r w:rsidR="00285249">
        <w:rPr>
          <w:rFonts w:ascii="Times New Roman" w:hAnsi="Times New Roman" w:cs="Times New Roman"/>
          <w:sz w:val="28"/>
          <w:szCs w:val="28"/>
        </w:rPr>
        <w:t xml:space="preserve"> к развитию</w:t>
      </w:r>
      <w:r w:rsidRPr="00581FE1">
        <w:rPr>
          <w:rFonts w:ascii="Times New Roman" w:hAnsi="Times New Roman" w:cs="Times New Roman"/>
          <w:sz w:val="28"/>
          <w:szCs w:val="28"/>
        </w:rPr>
        <w:t xml:space="preserve"> синдрома. </w:t>
      </w:r>
      <w:r w:rsidR="00285249">
        <w:rPr>
          <w:rFonts w:ascii="Times New Roman" w:hAnsi="Times New Roman" w:cs="Times New Roman"/>
          <w:sz w:val="28"/>
          <w:szCs w:val="28"/>
        </w:rPr>
        <w:t>Проведенные исследования свидетельствуют</w:t>
      </w:r>
      <w:r w:rsidRPr="00581FE1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581FE1">
        <w:rPr>
          <w:rFonts w:ascii="Times New Roman" w:hAnsi="Times New Roman" w:cs="Times New Roman"/>
          <w:sz w:val="28"/>
          <w:szCs w:val="28"/>
        </w:rPr>
        <w:t>бактериальная</w:t>
      </w:r>
      <w:proofErr w:type="gramEnd"/>
      <w:r w:rsidRPr="00581FE1">
        <w:rPr>
          <w:rFonts w:ascii="Times New Roman" w:hAnsi="Times New Roman" w:cs="Times New Roman"/>
          <w:sz w:val="28"/>
          <w:szCs w:val="28"/>
        </w:rPr>
        <w:t xml:space="preserve"> транслокация</w:t>
      </w:r>
      <w:r w:rsidR="004313A5">
        <w:rPr>
          <w:rFonts w:ascii="Times New Roman" w:hAnsi="Times New Roman" w:cs="Times New Roman"/>
          <w:sz w:val="28"/>
          <w:szCs w:val="28"/>
        </w:rPr>
        <w:t xml:space="preserve"> </w:t>
      </w:r>
      <w:r w:rsidRPr="00581FE1">
        <w:rPr>
          <w:rFonts w:ascii="Times New Roman" w:hAnsi="Times New Roman" w:cs="Times New Roman"/>
          <w:sz w:val="28"/>
          <w:szCs w:val="28"/>
        </w:rPr>
        <w:t>(БТ) и системное воспаление являются ключевыми</w:t>
      </w:r>
      <w:r w:rsidR="004313A5">
        <w:rPr>
          <w:rFonts w:ascii="Times New Roman" w:hAnsi="Times New Roman" w:cs="Times New Roman"/>
          <w:sz w:val="28"/>
          <w:szCs w:val="28"/>
        </w:rPr>
        <w:t xml:space="preserve"> </w:t>
      </w:r>
      <w:r w:rsidR="00285249">
        <w:rPr>
          <w:rFonts w:ascii="Times New Roman" w:hAnsi="Times New Roman" w:cs="Times New Roman"/>
          <w:sz w:val="28"/>
          <w:szCs w:val="28"/>
        </w:rPr>
        <w:t>м</w:t>
      </w:r>
      <w:r w:rsidR="004A27EC">
        <w:rPr>
          <w:rFonts w:ascii="Times New Roman" w:hAnsi="Times New Roman" w:cs="Times New Roman"/>
          <w:sz w:val="28"/>
          <w:szCs w:val="28"/>
        </w:rPr>
        <w:t>еханизмами</w:t>
      </w:r>
      <w:r w:rsidRPr="00581FE1">
        <w:rPr>
          <w:rFonts w:ascii="Times New Roman" w:hAnsi="Times New Roman" w:cs="Times New Roman"/>
          <w:sz w:val="28"/>
          <w:szCs w:val="28"/>
        </w:rPr>
        <w:t xml:space="preserve">, </w:t>
      </w:r>
      <w:r w:rsidR="004A27EC">
        <w:rPr>
          <w:rFonts w:ascii="Times New Roman" w:hAnsi="Times New Roman" w:cs="Times New Roman"/>
          <w:sz w:val="28"/>
          <w:szCs w:val="28"/>
        </w:rPr>
        <w:t>приводящими</w:t>
      </w:r>
      <w:r w:rsidRPr="00581FE1">
        <w:rPr>
          <w:rFonts w:ascii="Times New Roman" w:hAnsi="Times New Roman" w:cs="Times New Roman"/>
          <w:sz w:val="28"/>
          <w:szCs w:val="28"/>
        </w:rPr>
        <w:t xml:space="preserve"> к прогрессированию цирроза и</w:t>
      </w:r>
      <w:r w:rsidR="004313A5">
        <w:rPr>
          <w:rFonts w:ascii="Times New Roman" w:hAnsi="Times New Roman" w:cs="Times New Roman"/>
          <w:sz w:val="28"/>
          <w:szCs w:val="28"/>
        </w:rPr>
        <w:t xml:space="preserve"> </w:t>
      </w:r>
      <w:r w:rsidR="00285249">
        <w:rPr>
          <w:rFonts w:ascii="Times New Roman" w:hAnsi="Times New Roman" w:cs="Times New Roman"/>
          <w:sz w:val="28"/>
          <w:szCs w:val="28"/>
        </w:rPr>
        <w:t>развитию</w:t>
      </w:r>
      <w:r w:rsidRPr="00581FE1">
        <w:rPr>
          <w:rFonts w:ascii="Times New Roman" w:hAnsi="Times New Roman" w:cs="Times New Roman"/>
          <w:sz w:val="28"/>
          <w:szCs w:val="28"/>
        </w:rPr>
        <w:t xml:space="preserve"> </w:t>
      </w:r>
      <w:r w:rsidR="00285249">
        <w:rPr>
          <w:rFonts w:ascii="Times New Roman" w:hAnsi="Times New Roman" w:cs="Times New Roman"/>
          <w:sz w:val="28"/>
          <w:szCs w:val="28"/>
        </w:rPr>
        <w:t>ОХПН</w:t>
      </w:r>
      <w:r w:rsidRPr="00581FE1">
        <w:rPr>
          <w:rFonts w:ascii="Times New Roman" w:hAnsi="Times New Roman" w:cs="Times New Roman"/>
          <w:sz w:val="28"/>
          <w:szCs w:val="28"/>
        </w:rPr>
        <w:t xml:space="preserve">. </w:t>
      </w:r>
      <w:r w:rsidR="00285249">
        <w:rPr>
          <w:rFonts w:ascii="Times New Roman" w:hAnsi="Times New Roman" w:cs="Times New Roman"/>
          <w:sz w:val="28"/>
          <w:szCs w:val="28"/>
        </w:rPr>
        <w:t>Патогенетическая терапия</w:t>
      </w:r>
      <w:r w:rsidRPr="00581FE1">
        <w:rPr>
          <w:rFonts w:ascii="Times New Roman" w:hAnsi="Times New Roman" w:cs="Times New Roman"/>
          <w:sz w:val="28"/>
          <w:szCs w:val="28"/>
        </w:rPr>
        <w:t xml:space="preserve">, </w:t>
      </w:r>
      <w:r w:rsidR="00285249">
        <w:rPr>
          <w:rFonts w:ascii="Times New Roman" w:hAnsi="Times New Roman" w:cs="Times New Roman"/>
          <w:sz w:val="28"/>
          <w:szCs w:val="28"/>
        </w:rPr>
        <w:t>направленная</w:t>
      </w:r>
      <w:r w:rsidRPr="00581FE1">
        <w:rPr>
          <w:rFonts w:ascii="Times New Roman" w:hAnsi="Times New Roman" w:cs="Times New Roman"/>
          <w:sz w:val="28"/>
          <w:szCs w:val="28"/>
        </w:rPr>
        <w:t xml:space="preserve"> на </w:t>
      </w:r>
      <w:r w:rsidR="004A27EC">
        <w:rPr>
          <w:rFonts w:ascii="Times New Roman" w:hAnsi="Times New Roman" w:cs="Times New Roman"/>
          <w:sz w:val="28"/>
          <w:szCs w:val="28"/>
        </w:rPr>
        <w:t xml:space="preserve">лечение </w:t>
      </w:r>
      <w:r w:rsidRPr="00581FE1">
        <w:rPr>
          <w:rFonts w:ascii="Times New Roman" w:hAnsi="Times New Roman" w:cs="Times New Roman"/>
          <w:sz w:val="28"/>
          <w:szCs w:val="28"/>
        </w:rPr>
        <w:t>БТ</w:t>
      </w:r>
      <w:r w:rsidR="004313A5">
        <w:rPr>
          <w:rFonts w:ascii="Times New Roman" w:hAnsi="Times New Roman" w:cs="Times New Roman"/>
          <w:sz w:val="28"/>
          <w:szCs w:val="28"/>
        </w:rPr>
        <w:t xml:space="preserve"> </w:t>
      </w:r>
      <w:r w:rsidRPr="00581F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1FE1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581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FE1">
        <w:rPr>
          <w:rFonts w:ascii="Times New Roman" w:hAnsi="Times New Roman" w:cs="Times New Roman"/>
          <w:sz w:val="28"/>
          <w:szCs w:val="28"/>
        </w:rPr>
        <w:t>норфлоксацин</w:t>
      </w:r>
      <w:proofErr w:type="spellEnd"/>
      <w:r w:rsidRPr="00581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FE1">
        <w:rPr>
          <w:rFonts w:ascii="Times New Roman" w:hAnsi="Times New Roman" w:cs="Times New Roman"/>
          <w:sz w:val="28"/>
          <w:szCs w:val="28"/>
        </w:rPr>
        <w:t>рифаксимин</w:t>
      </w:r>
      <w:proofErr w:type="spellEnd"/>
      <w:r w:rsidRPr="00581FE1">
        <w:rPr>
          <w:rFonts w:ascii="Times New Roman" w:hAnsi="Times New Roman" w:cs="Times New Roman"/>
          <w:sz w:val="28"/>
          <w:szCs w:val="28"/>
        </w:rPr>
        <w:t>), вероятно, будут</w:t>
      </w:r>
      <w:r w:rsidR="004313A5">
        <w:rPr>
          <w:rFonts w:ascii="Times New Roman" w:hAnsi="Times New Roman" w:cs="Times New Roman"/>
          <w:sz w:val="28"/>
          <w:szCs w:val="28"/>
        </w:rPr>
        <w:t xml:space="preserve"> </w:t>
      </w:r>
      <w:r w:rsidR="00285249">
        <w:rPr>
          <w:rFonts w:ascii="Times New Roman" w:hAnsi="Times New Roman" w:cs="Times New Roman"/>
          <w:sz w:val="28"/>
          <w:szCs w:val="28"/>
        </w:rPr>
        <w:t>предотвращать развитие</w:t>
      </w:r>
      <w:r w:rsidRPr="00581FE1">
        <w:rPr>
          <w:rFonts w:ascii="Times New Roman" w:hAnsi="Times New Roman" w:cs="Times New Roman"/>
          <w:sz w:val="28"/>
          <w:szCs w:val="28"/>
        </w:rPr>
        <w:t xml:space="preserve"> </w:t>
      </w:r>
      <w:r w:rsidR="00285249">
        <w:rPr>
          <w:rFonts w:ascii="Times New Roman" w:hAnsi="Times New Roman" w:cs="Times New Roman"/>
          <w:sz w:val="28"/>
          <w:szCs w:val="28"/>
        </w:rPr>
        <w:t>ОХПН</w:t>
      </w:r>
      <w:r w:rsidRPr="00581FE1">
        <w:rPr>
          <w:rFonts w:ascii="Times New Roman" w:hAnsi="Times New Roman" w:cs="Times New Roman"/>
          <w:sz w:val="28"/>
          <w:szCs w:val="28"/>
        </w:rPr>
        <w:t xml:space="preserve">. </w:t>
      </w:r>
      <w:r w:rsidR="00285249">
        <w:rPr>
          <w:rFonts w:ascii="Times New Roman" w:hAnsi="Times New Roman" w:cs="Times New Roman"/>
          <w:sz w:val="28"/>
          <w:szCs w:val="28"/>
        </w:rPr>
        <w:t>В настоящее время рассматриваются</w:t>
      </w:r>
      <w:r w:rsidRPr="00581FE1">
        <w:rPr>
          <w:rFonts w:ascii="Times New Roman" w:hAnsi="Times New Roman" w:cs="Times New Roman"/>
          <w:sz w:val="28"/>
          <w:szCs w:val="28"/>
        </w:rPr>
        <w:t xml:space="preserve"> инновационные методы лечения, </w:t>
      </w:r>
      <w:r w:rsidR="00285249">
        <w:rPr>
          <w:rFonts w:ascii="Times New Roman" w:hAnsi="Times New Roman" w:cs="Times New Roman"/>
          <w:sz w:val="28"/>
          <w:szCs w:val="28"/>
        </w:rPr>
        <w:t xml:space="preserve">такие как применение </w:t>
      </w:r>
      <w:proofErr w:type="spellStart"/>
      <w:r w:rsidR="0089238D">
        <w:rPr>
          <w:rFonts w:ascii="Times New Roman" w:hAnsi="Times New Roman" w:cs="Times New Roman"/>
          <w:sz w:val="28"/>
          <w:szCs w:val="28"/>
        </w:rPr>
        <w:t>гранулоцитарно</w:t>
      </w:r>
      <w:r w:rsidR="00285249" w:rsidRPr="002852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92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249" w:rsidRPr="00285249">
        <w:rPr>
          <w:rFonts w:ascii="Times New Roman" w:hAnsi="Times New Roman" w:cs="Times New Roman"/>
          <w:sz w:val="28"/>
          <w:szCs w:val="28"/>
        </w:rPr>
        <w:t>колониестимулирующего</w:t>
      </w:r>
      <w:proofErr w:type="spellEnd"/>
      <w:r w:rsidR="00285249" w:rsidRPr="00285249">
        <w:rPr>
          <w:rFonts w:ascii="Times New Roman" w:hAnsi="Times New Roman" w:cs="Times New Roman"/>
          <w:sz w:val="28"/>
          <w:szCs w:val="28"/>
        </w:rPr>
        <w:t xml:space="preserve"> фактора (Г-КСФ)</w:t>
      </w:r>
      <w:r w:rsidR="00285249" w:rsidRPr="00581FE1">
        <w:rPr>
          <w:rFonts w:ascii="Times New Roman" w:hAnsi="Times New Roman" w:cs="Times New Roman"/>
          <w:sz w:val="28"/>
          <w:szCs w:val="28"/>
        </w:rPr>
        <w:t xml:space="preserve"> </w:t>
      </w:r>
      <w:r w:rsidRPr="00581FE1">
        <w:rPr>
          <w:rFonts w:ascii="Times New Roman" w:hAnsi="Times New Roman" w:cs="Times New Roman"/>
          <w:sz w:val="28"/>
          <w:szCs w:val="28"/>
        </w:rPr>
        <w:t xml:space="preserve">и </w:t>
      </w:r>
      <w:r w:rsidR="00285249">
        <w:rPr>
          <w:rFonts w:ascii="Times New Roman" w:hAnsi="Times New Roman" w:cs="Times New Roman"/>
          <w:sz w:val="28"/>
          <w:szCs w:val="28"/>
        </w:rPr>
        <w:t>мезенхимных стволовых</w:t>
      </w:r>
      <w:r w:rsidR="00285249" w:rsidRPr="00285249">
        <w:rPr>
          <w:rFonts w:ascii="Times New Roman" w:hAnsi="Times New Roman" w:cs="Times New Roman"/>
          <w:sz w:val="28"/>
          <w:szCs w:val="28"/>
        </w:rPr>
        <w:t xml:space="preserve"> клетки</w:t>
      </w:r>
      <w:r w:rsidRPr="00285249">
        <w:rPr>
          <w:rFonts w:ascii="Times New Roman" w:hAnsi="Times New Roman" w:cs="Times New Roman"/>
          <w:sz w:val="28"/>
          <w:szCs w:val="28"/>
        </w:rPr>
        <w:t>.</w:t>
      </w:r>
      <w:r w:rsidR="00285249">
        <w:rPr>
          <w:rFonts w:ascii="Times New Roman" w:hAnsi="Times New Roman" w:cs="Times New Roman"/>
          <w:sz w:val="28"/>
          <w:szCs w:val="28"/>
        </w:rPr>
        <w:t xml:space="preserve"> Т</w:t>
      </w:r>
      <w:r w:rsidRPr="00581FE1">
        <w:rPr>
          <w:rFonts w:ascii="Times New Roman" w:hAnsi="Times New Roman" w:cs="Times New Roman"/>
          <w:sz w:val="28"/>
          <w:szCs w:val="28"/>
        </w:rPr>
        <w:t xml:space="preserve">ерапия </w:t>
      </w:r>
      <w:r w:rsidR="00285249" w:rsidRPr="00285249">
        <w:rPr>
          <w:rFonts w:ascii="Times New Roman" w:hAnsi="Times New Roman" w:cs="Times New Roman"/>
          <w:sz w:val="28"/>
          <w:szCs w:val="28"/>
        </w:rPr>
        <w:t>Г-КСФ</w:t>
      </w:r>
      <w:r w:rsidR="00285249" w:rsidRPr="00581FE1">
        <w:rPr>
          <w:rFonts w:ascii="Times New Roman" w:hAnsi="Times New Roman" w:cs="Times New Roman"/>
          <w:sz w:val="28"/>
          <w:szCs w:val="28"/>
        </w:rPr>
        <w:t xml:space="preserve"> </w:t>
      </w:r>
      <w:r w:rsidRPr="00581FE1">
        <w:rPr>
          <w:rFonts w:ascii="Times New Roman" w:hAnsi="Times New Roman" w:cs="Times New Roman"/>
          <w:sz w:val="28"/>
          <w:szCs w:val="28"/>
        </w:rPr>
        <w:t xml:space="preserve">в </w:t>
      </w:r>
      <w:r w:rsidR="00E75DED">
        <w:rPr>
          <w:rFonts w:ascii="Times New Roman" w:hAnsi="Times New Roman" w:cs="Times New Roman"/>
          <w:sz w:val="28"/>
          <w:szCs w:val="28"/>
        </w:rPr>
        <w:t>лечение ОХПН</w:t>
      </w:r>
      <w:r w:rsidRPr="00581FE1">
        <w:rPr>
          <w:rFonts w:ascii="Times New Roman" w:hAnsi="Times New Roman" w:cs="Times New Roman"/>
          <w:sz w:val="28"/>
          <w:szCs w:val="28"/>
        </w:rPr>
        <w:t xml:space="preserve"> </w:t>
      </w:r>
      <w:r w:rsidR="004A27EC">
        <w:rPr>
          <w:rFonts w:ascii="Times New Roman" w:hAnsi="Times New Roman" w:cs="Times New Roman"/>
          <w:sz w:val="28"/>
          <w:szCs w:val="28"/>
        </w:rPr>
        <w:t>исследована</w:t>
      </w:r>
      <w:r w:rsidRPr="00581FE1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4A27EC">
        <w:rPr>
          <w:rFonts w:ascii="Times New Roman" w:hAnsi="Times New Roman" w:cs="Times New Roman"/>
          <w:sz w:val="28"/>
          <w:szCs w:val="28"/>
        </w:rPr>
        <w:t>в</w:t>
      </w:r>
      <w:r w:rsidRPr="00581FE1">
        <w:rPr>
          <w:rFonts w:ascii="Times New Roman" w:hAnsi="Times New Roman" w:cs="Times New Roman"/>
          <w:sz w:val="28"/>
          <w:szCs w:val="28"/>
        </w:rPr>
        <w:t xml:space="preserve"> двух </w:t>
      </w:r>
      <w:proofErr w:type="spellStart"/>
      <w:r w:rsidRPr="00581FE1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="00285249">
        <w:rPr>
          <w:rFonts w:ascii="Times New Roman" w:hAnsi="Times New Roman" w:cs="Times New Roman"/>
          <w:sz w:val="28"/>
          <w:szCs w:val="28"/>
        </w:rPr>
        <w:t xml:space="preserve"> </w:t>
      </w:r>
      <w:r w:rsidR="00E75DED">
        <w:rPr>
          <w:rFonts w:ascii="Times New Roman" w:hAnsi="Times New Roman" w:cs="Times New Roman"/>
          <w:sz w:val="28"/>
          <w:szCs w:val="28"/>
        </w:rPr>
        <w:t>к</w:t>
      </w:r>
      <w:r w:rsidR="004A27EC">
        <w:rPr>
          <w:rFonts w:ascii="Times New Roman" w:hAnsi="Times New Roman" w:cs="Times New Roman"/>
          <w:sz w:val="28"/>
          <w:szCs w:val="28"/>
        </w:rPr>
        <w:t>линических испытаниях</w:t>
      </w:r>
      <w:r w:rsidRPr="00581F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5249">
        <w:rPr>
          <w:rFonts w:ascii="Times New Roman" w:hAnsi="Times New Roman" w:cs="Times New Roman"/>
          <w:sz w:val="28"/>
          <w:szCs w:val="28"/>
        </w:rPr>
        <w:t>Garg</w:t>
      </w:r>
      <w:proofErr w:type="spellEnd"/>
      <w:r w:rsidR="0028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24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28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249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4A27EC">
        <w:rPr>
          <w:rFonts w:ascii="Times New Roman" w:hAnsi="Times New Roman" w:cs="Times New Roman"/>
          <w:sz w:val="28"/>
          <w:szCs w:val="28"/>
        </w:rPr>
        <w:t>.</w:t>
      </w:r>
      <w:r w:rsidRPr="00581FE1">
        <w:rPr>
          <w:rFonts w:ascii="Times New Roman" w:hAnsi="Times New Roman" w:cs="Times New Roman"/>
          <w:sz w:val="28"/>
          <w:szCs w:val="28"/>
        </w:rPr>
        <w:t xml:space="preserve"> </w:t>
      </w:r>
      <w:r w:rsidR="0089238D">
        <w:rPr>
          <w:rFonts w:ascii="Times New Roman" w:hAnsi="Times New Roman" w:cs="Times New Roman"/>
          <w:sz w:val="28"/>
          <w:szCs w:val="28"/>
        </w:rPr>
        <w:t>п</w:t>
      </w:r>
      <w:r w:rsidR="004A27EC">
        <w:rPr>
          <w:rFonts w:ascii="Times New Roman" w:hAnsi="Times New Roman" w:cs="Times New Roman"/>
          <w:sz w:val="28"/>
          <w:szCs w:val="28"/>
        </w:rPr>
        <w:t>ровели исследование, в котором 47 пациентам</w:t>
      </w:r>
      <w:r w:rsidRPr="00581FE1">
        <w:rPr>
          <w:rFonts w:ascii="Times New Roman" w:hAnsi="Times New Roman" w:cs="Times New Roman"/>
          <w:sz w:val="28"/>
          <w:szCs w:val="28"/>
        </w:rPr>
        <w:t xml:space="preserve"> </w:t>
      </w:r>
      <w:r w:rsidR="004A27EC">
        <w:rPr>
          <w:rFonts w:ascii="Times New Roman" w:hAnsi="Times New Roman" w:cs="Times New Roman"/>
          <w:sz w:val="28"/>
          <w:szCs w:val="28"/>
        </w:rPr>
        <w:t>вводили</w:t>
      </w:r>
      <w:r w:rsidR="00156ADE">
        <w:rPr>
          <w:rFonts w:ascii="Times New Roman" w:hAnsi="Times New Roman" w:cs="Times New Roman"/>
          <w:sz w:val="28"/>
          <w:szCs w:val="28"/>
        </w:rPr>
        <w:t xml:space="preserve"> </w:t>
      </w:r>
      <w:r w:rsidR="004A27EC">
        <w:rPr>
          <w:rFonts w:ascii="Times New Roman" w:hAnsi="Times New Roman" w:cs="Times New Roman"/>
          <w:sz w:val="28"/>
          <w:szCs w:val="28"/>
        </w:rPr>
        <w:t>до 5 мкг / </w:t>
      </w:r>
      <w:proofErr w:type="gramStart"/>
      <w:r w:rsidRPr="00581FE1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285249">
        <w:rPr>
          <w:rFonts w:ascii="Times New Roman" w:hAnsi="Times New Roman" w:cs="Times New Roman"/>
          <w:sz w:val="28"/>
          <w:szCs w:val="28"/>
        </w:rPr>
        <w:t xml:space="preserve"> </w:t>
      </w:r>
      <w:r w:rsidR="004A27EC" w:rsidRPr="00285249">
        <w:rPr>
          <w:rFonts w:ascii="Times New Roman" w:hAnsi="Times New Roman" w:cs="Times New Roman"/>
          <w:sz w:val="28"/>
          <w:szCs w:val="28"/>
        </w:rPr>
        <w:t>Г-КСФ</w:t>
      </w:r>
      <w:r w:rsidR="004A27EC" w:rsidRPr="00581FE1">
        <w:rPr>
          <w:rFonts w:ascii="Times New Roman" w:hAnsi="Times New Roman" w:cs="Times New Roman"/>
          <w:sz w:val="28"/>
          <w:szCs w:val="28"/>
        </w:rPr>
        <w:t xml:space="preserve"> </w:t>
      </w:r>
      <w:r w:rsidRPr="00581FE1">
        <w:rPr>
          <w:rFonts w:ascii="Times New Roman" w:hAnsi="Times New Roman" w:cs="Times New Roman"/>
          <w:sz w:val="28"/>
          <w:szCs w:val="28"/>
        </w:rPr>
        <w:t xml:space="preserve">подкожно (n = 23) по сравнению </w:t>
      </w:r>
      <w:r w:rsidR="00156ADE">
        <w:rPr>
          <w:rFonts w:ascii="Times New Roman" w:hAnsi="Times New Roman" w:cs="Times New Roman"/>
          <w:sz w:val="28"/>
          <w:szCs w:val="28"/>
        </w:rPr>
        <w:t>с группой контроля</w:t>
      </w:r>
      <w:r w:rsidR="00285249">
        <w:rPr>
          <w:rFonts w:ascii="Times New Roman" w:hAnsi="Times New Roman" w:cs="Times New Roman"/>
          <w:sz w:val="28"/>
          <w:szCs w:val="28"/>
        </w:rPr>
        <w:t xml:space="preserve"> </w:t>
      </w:r>
      <w:r w:rsidRPr="00581FE1">
        <w:rPr>
          <w:rFonts w:ascii="Times New Roman" w:hAnsi="Times New Roman" w:cs="Times New Roman"/>
          <w:sz w:val="28"/>
          <w:szCs w:val="28"/>
        </w:rPr>
        <w:t>(N = 24)</w:t>
      </w:r>
      <w:r w:rsidR="00156ADE">
        <w:rPr>
          <w:rFonts w:ascii="Times New Roman" w:hAnsi="Times New Roman" w:cs="Times New Roman"/>
          <w:sz w:val="28"/>
          <w:szCs w:val="28"/>
        </w:rPr>
        <w:t>. В результате</w:t>
      </w:r>
      <w:r w:rsidRPr="00581FE1">
        <w:rPr>
          <w:rFonts w:ascii="Times New Roman" w:hAnsi="Times New Roman" w:cs="Times New Roman"/>
          <w:sz w:val="28"/>
          <w:szCs w:val="28"/>
        </w:rPr>
        <w:t xml:space="preserve"> </w:t>
      </w:r>
      <w:r w:rsidR="00156ADE">
        <w:rPr>
          <w:rFonts w:ascii="Times New Roman" w:hAnsi="Times New Roman" w:cs="Times New Roman"/>
          <w:sz w:val="28"/>
          <w:szCs w:val="28"/>
        </w:rPr>
        <w:t>процент выживаемости</w:t>
      </w:r>
      <w:r w:rsidRPr="00581FE1">
        <w:rPr>
          <w:rFonts w:ascii="Times New Roman" w:hAnsi="Times New Roman" w:cs="Times New Roman"/>
          <w:sz w:val="28"/>
          <w:szCs w:val="28"/>
        </w:rPr>
        <w:t xml:space="preserve"> на 60-й день </w:t>
      </w:r>
      <w:r w:rsidR="00E75DED">
        <w:rPr>
          <w:rFonts w:ascii="Times New Roman" w:hAnsi="Times New Roman" w:cs="Times New Roman"/>
          <w:sz w:val="28"/>
          <w:szCs w:val="28"/>
        </w:rPr>
        <w:t>с</w:t>
      </w:r>
      <w:r w:rsidR="00156ADE">
        <w:rPr>
          <w:rFonts w:ascii="Times New Roman" w:hAnsi="Times New Roman" w:cs="Times New Roman"/>
          <w:sz w:val="28"/>
          <w:szCs w:val="28"/>
        </w:rPr>
        <w:t>оставил</w:t>
      </w:r>
      <w:r w:rsidR="00285249">
        <w:rPr>
          <w:rFonts w:ascii="Times New Roman" w:hAnsi="Times New Roman" w:cs="Times New Roman"/>
          <w:sz w:val="28"/>
          <w:szCs w:val="28"/>
        </w:rPr>
        <w:t xml:space="preserve"> </w:t>
      </w:r>
      <w:r w:rsidR="00156ADE">
        <w:rPr>
          <w:rFonts w:ascii="Times New Roman" w:hAnsi="Times New Roman" w:cs="Times New Roman"/>
          <w:sz w:val="28"/>
          <w:szCs w:val="28"/>
        </w:rPr>
        <w:t xml:space="preserve">66% против 26% в группе контроля </w:t>
      </w:r>
      <w:r w:rsidR="00156ADE" w:rsidRPr="00581F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56ADE" w:rsidRPr="00581F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6ADE" w:rsidRPr="00581FE1">
        <w:rPr>
          <w:rFonts w:ascii="Times New Roman" w:hAnsi="Times New Roman" w:cs="Times New Roman"/>
          <w:sz w:val="28"/>
          <w:szCs w:val="28"/>
        </w:rPr>
        <w:t xml:space="preserve"> = 0,001)</w:t>
      </w:r>
      <w:r w:rsidRPr="00581FE1">
        <w:rPr>
          <w:rFonts w:ascii="Times New Roman" w:hAnsi="Times New Roman" w:cs="Times New Roman"/>
          <w:sz w:val="28"/>
          <w:szCs w:val="28"/>
        </w:rPr>
        <w:t xml:space="preserve">. </w:t>
      </w:r>
      <w:r w:rsidR="00E75DED">
        <w:rPr>
          <w:rFonts w:ascii="Times New Roman" w:hAnsi="Times New Roman" w:cs="Times New Roman"/>
          <w:sz w:val="28"/>
          <w:szCs w:val="28"/>
        </w:rPr>
        <w:t xml:space="preserve">Кроме того, отмечали улучшения по шкале </w:t>
      </w:r>
      <w:proofErr w:type="spellStart"/>
      <w:r w:rsidR="00E75DED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="00E75DED">
        <w:rPr>
          <w:rFonts w:ascii="Times New Roman" w:hAnsi="Times New Roman" w:cs="Times New Roman"/>
          <w:sz w:val="28"/>
          <w:szCs w:val="28"/>
        </w:rPr>
        <w:t>-Пью</w:t>
      </w:r>
      <w:r w:rsidR="00156ADE">
        <w:rPr>
          <w:rFonts w:ascii="Times New Roman" w:hAnsi="Times New Roman" w:cs="Times New Roman"/>
          <w:sz w:val="28"/>
          <w:szCs w:val="28"/>
        </w:rPr>
        <w:t xml:space="preserve"> и SOFA. П</w:t>
      </w:r>
      <w:r w:rsidR="00E75DED" w:rsidRPr="00581FE1">
        <w:rPr>
          <w:rFonts w:ascii="Times New Roman" w:hAnsi="Times New Roman" w:cs="Times New Roman"/>
          <w:sz w:val="28"/>
          <w:szCs w:val="28"/>
        </w:rPr>
        <w:t>ациенты,</w:t>
      </w:r>
      <w:r w:rsidR="00285249">
        <w:rPr>
          <w:rFonts w:ascii="Times New Roman" w:hAnsi="Times New Roman" w:cs="Times New Roman"/>
          <w:sz w:val="28"/>
          <w:szCs w:val="28"/>
        </w:rPr>
        <w:t xml:space="preserve"> </w:t>
      </w:r>
      <w:r w:rsidR="00E75DED">
        <w:rPr>
          <w:rFonts w:ascii="Times New Roman" w:hAnsi="Times New Roman" w:cs="Times New Roman"/>
          <w:sz w:val="28"/>
          <w:szCs w:val="28"/>
        </w:rPr>
        <w:t>п</w:t>
      </w:r>
      <w:r w:rsidRPr="00581FE1">
        <w:rPr>
          <w:rFonts w:ascii="Times New Roman" w:hAnsi="Times New Roman" w:cs="Times New Roman"/>
          <w:sz w:val="28"/>
          <w:szCs w:val="28"/>
        </w:rPr>
        <w:t xml:space="preserve">олучавшие </w:t>
      </w:r>
      <w:r w:rsidR="00E75DED" w:rsidRPr="00285249">
        <w:rPr>
          <w:rFonts w:ascii="Times New Roman" w:hAnsi="Times New Roman" w:cs="Times New Roman"/>
          <w:sz w:val="28"/>
          <w:szCs w:val="28"/>
        </w:rPr>
        <w:t>Г-КСФ</w:t>
      </w:r>
      <w:r w:rsidR="00156ADE">
        <w:rPr>
          <w:rFonts w:ascii="Times New Roman" w:hAnsi="Times New Roman" w:cs="Times New Roman"/>
          <w:sz w:val="28"/>
          <w:szCs w:val="28"/>
        </w:rPr>
        <w:t>,</w:t>
      </w:r>
      <w:r w:rsidRPr="00581FE1">
        <w:rPr>
          <w:rFonts w:ascii="Times New Roman" w:hAnsi="Times New Roman" w:cs="Times New Roman"/>
          <w:sz w:val="28"/>
          <w:szCs w:val="28"/>
        </w:rPr>
        <w:t xml:space="preserve"> были менее склонны к развитию гепаторенального синдрома,</w:t>
      </w:r>
      <w:r w:rsidR="00285249">
        <w:rPr>
          <w:rFonts w:ascii="Times New Roman" w:hAnsi="Times New Roman" w:cs="Times New Roman"/>
          <w:sz w:val="28"/>
          <w:szCs w:val="28"/>
        </w:rPr>
        <w:t xml:space="preserve"> </w:t>
      </w:r>
      <w:r w:rsidR="00E75DED">
        <w:rPr>
          <w:rFonts w:ascii="Times New Roman" w:hAnsi="Times New Roman" w:cs="Times New Roman"/>
          <w:sz w:val="28"/>
          <w:szCs w:val="28"/>
        </w:rPr>
        <w:t>полиорганной недостаточности</w:t>
      </w:r>
      <w:r w:rsidRPr="00581FE1">
        <w:rPr>
          <w:rFonts w:ascii="Times New Roman" w:hAnsi="Times New Roman" w:cs="Times New Roman"/>
          <w:sz w:val="28"/>
          <w:szCs w:val="28"/>
        </w:rPr>
        <w:t xml:space="preserve"> </w:t>
      </w:r>
      <w:r w:rsidR="00156ADE">
        <w:rPr>
          <w:rFonts w:ascii="Times New Roman" w:hAnsi="Times New Roman" w:cs="Times New Roman"/>
          <w:sz w:val="28"/>
          <w:szCs w:val="28"/>
        </w:rPr>
        <w:t>и</w:t>
      </w:r>
      <w:r w:rsidRPr="00581FE1">
        <w:rPr>
          <w:rFonts w:ascii="Times New Roman" w:hAnsi="Times New Roman" w:cs="Times New Roman"/>
          <w:sz w:val="28"/>
          <w:szCs w:val="28"/>
        </w:rPr>
        <w:t xml:space="preserve"> сепсис</w:t>
      </w:r>
      <w:r w:rsidR="00E75DED">
        <w:rPr>
          <w:rFonts w:ascii="Times New Roman" w:hAnsi="Times New Roman" w:cs="Times New Roman"/>
          <w:sz w:val="28"/>
          <w:szCs w:val="28"/>
        </w:rPr>
        <w:t>а</w:t>
      </w:r>
      <w:r w:rsidRPr="00581F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5DED">
        <w:rPr>
          <w:rFonts w:ascii="Times New Roman" w:hAnsi="Times New Roman" w:cs="Times New Roman"/>
          <w:sz w:val="28"/>
          <w:szCs w:val="28"/>
        </w:rPr>
        <w:t>Duan</w:t>
      </w:r>
      <w:proofErr w:type="spellEnd"/>
      <w:r w:rsidR="00E7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DE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E75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DE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E75DED">
        <w:rPr>
          <w:rFonts w:ascii="Times New Roman" w:hAnsi="Times New Roman" w:cs="Times New Roman"/>
          <w:sz w:val="28"/>
          <w:szCs w:val="28"/>
        </w:rPr>
        <w:t>.</w:t>
      </w:r>
      <w:r w:rsidRPr="00581FE1">
        <w:rPr>
          <w:rFonts w:ascii="Times New Roman" w:hAnsi="Times New Roman" w:cs="Times New Roman"/>
          <w:sz w:val="28"/>
          <w:szCs w:val="28"/>
        </w:rPr>
        <w:t xml:space="preserve"> </w:t>
      </w:r>
      <w:r w:rsidR="00E75DED">
        <w:rPr>
          <w:rFonts w:ascii="Times New Roman" w:hAnsi="Times New Roman" w:cs="Times New Roman"/>
          <w:sz w:val="28"/>
          <w:szCs w:val="28"/>
        </w:rPr>
        <w:t>исследовали</w:t>
      </w:r>
      <w:r w:rsidR="00285249">
        <w:rPr>
          <w:rFonts w:ascii="Times New Roman" w:hAnsi="Times New Roman" w:cs="Times New Roman"/>
          <w:sz w:val="28"/>
          <w:szCs w:val="28"/>
        </w:rPr>
        <w:t xml:space="preserve"> </w:t>
      </w:r>
      <w:r w:rsidRPr="00581FE1">
        <w:rPr>
          <w:rFonts w:ascii="Times New Roman" w:hAnsi="Times New Roman" w:cs="Times New Roman"/>
          <w:sz w:val="28"/>
          <w:szCs w:val="28"/>
        </w:rPr>
        <w:t xml:space="preserve">55 пациентов с </w:t>
      </w:r>
      <w:r w:rsidR="00E75DED">
        <w:rPr>
          <w:rFonts w:ascii="Times New Roman" w:hAnsi="Times New Roman" w:cs="Times New Roman"/>
          <w:sz w:val="28"/>
          <w:szCs w:val="28"/>
        </w:rPr>
        <w:t>ОХПН,</w:t>
      </w:r>
      <w:r w:rsidR="00E75DED" w:rsidRPr="00581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FE1">
        <w:rPr>
          <w:rFonts w:ascii="Times New Roman" w:hAnsi="Times New Roman" w:cs="Times New Roman"/>
          <w:sz w:val="28"/>
          <w:szCs w:val="28"/>
        </w:rPr>
        <w:t>ассоциированным</w:t>
      </w:r>
      <w:proofErr w:type="gramEnd"/>
      <w:r w:rsidRPr="00581FE1">
        <w:rPr>
          <w:rFonts w:ascii="Times New Roman" w:hAnsi="Times New Roman" w:cs="Times New Roman"/>
          <w:sz w:val="28"/>
          <w:szCs w:val="28"/>
        </w:rPr>
        <w:t xml:space="preserve"> с HBV</w:t>
      </w:r>
      <w:r w:rsidR="00E75DED">
        <w:rPr>
          <w:rFonts w:ascii="Times New Roman" w:hAnsi="Times New Roman" w:cs="Times New Roman"/>
          <w:sz w:val="28"/>
          <w:szCs w:val="28"/>
        </w:rPr>
        <w:t>, получавших</w:t>
      </w:r>
      <w:r w:rsidRPr="00581FE1">
        <w:rPr>
          <w:rFonts w:ascii="Times New Roman" w:hAnsi="Times New Roman" w:cs="Times New Roman"/>
          <w:sz w:val="28"/>
          <w:szCs w:val="28"/>
        </w:rPr>
        <w:t xml:space="preserve"> </w:t>
      </w:r>
      <w:r w:rsidR="00E75DED" w:rsidRPr="00285249">
        <w:rPr>
          <w:rFonts w:ascii="Times New Roman" w:hAnsi="Times New Roman" w:cs="Times New Roman"/>
          <w:sz w:val="28"/>
          <w:szCs w:val="28"/>
        </w:rPr>
        <w:t>Г-КСФ</w:t>
      </w:r>
      <w:r w:rsidRPr="00581FE1">
        <w:rPr>
          <w:rFonts w:ascii="Times New Roman" w:hAnsi="Times New Roman" w:cs="Times New Roman"/>
          <w:sz w:val="28"/>
          <w:szCs w:val="28"/>
        </w:rPr>
        <w:t xml:space="preserve">. </w:t>
      </w:r>
      <w:r w:rsidR="00AF7B67">
        <w:rPr>
          <w:rFonts w:ascii="Times New Roman" w:hAnsi="Times New Roman" w:cs="Times New Roman"/>
          <w:sz w:val="28"/>
          <w:szCs w:val="28"/>
        </w:rPr>
        <w:t>Процент выживаемости в течение 90 дней составил</w:t>
      </w:r>
      <w:r w:rsidRPr="00581FE1">
        <w:rPr>
          <w:rFonts w:ascii="Times New Roman" w:hAnsi="Times New Roman" w:cs="Times New Roman"/>
          <w:sz w:val="28"/>
          <w:szCs w:val="28"/>
        </w:rPr>
        <w:t xml:space="preserve"> 48%</w:t>
      </w:r>
      <w:r w:rsidR="00285249">
        <w:rPr>
          <w:rFonts w:ascii="Times New Roman" w:hAnsi="Times New Roman" w:cs="Times New Roman"/>
          <w:sz w:val="28"/>
          <w:szCs w:val="28"/>
        </w:rPr>
        <w:t xml:space="preserve"> </w:t>
      </w:r>
      <w:r w:rsidR="00E75DED">
        <w:rPr>
          <w:rFonts w:ascii="Times New Roman" w:hAnsi="Times New Roman" w:cs="Times New Roman"/>
          <w:sz w:val="28"/>
          <w:szCs w:val="28"/>
        </w:rPr>
        <w:t>в</w:t>
      </w:r>
      <w:r w:rsidRPr="00581FE1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E75DED" w:rsidRPr="00285249">
        <w:rPr>
          <w:rFonts w:ascii="Times New Roman" w:hAnsi="Times New Roman" w:cs="Times New Roman"/>
          <w:sz w:val="28"/>
          <w:szCs w:val="28"/>
        </w:rPr>
        <w:t>Г-КСФ</w:t>
      </w:r>
      <w:r w:rsidR="00E75DED" w:rsidRPr="00581FE1">
        <w:rPr>
          <w:rFonts w:ascii="Times New Roman" w:hAnsi="Times New Roman" w:cs="Times New Roman"/>
          <w:sz w:val="28"/>
          <w:szCs w:val="28"/>
        </w:rPr>
        <w:t xml:space="preserve"> </w:t>
      </w:r>
      <w:r w:rsidR="00156ADE">
        <w:rPr>
          <w:rFonts w:ascii="Times New Roman" w:hAnsi="Times New Roman" w:cs="Times New Roman"/>
          <w:sz w:val="28"/>
          <w:szCs w:val="28"/>
        </w:rPr>
        <w:t>по сравнению с 21,4% в</w:t>
      </w:r>
      <w:r w:rsidR="00285249">
        <w:rPr>
          <w:rFonts w:ascii="Times New Roman" w:hAnsi="Times New Roman" w:cs="Times New Roman"/>
          <w:sz w:val="28"/>
          <w:szCs w:val="28"/>
        </w:rPr>
        <w:t xml:space="preserve"> </w:t>
      </w:r>
      <w:r w:rsidR="00E75DED">
        <w:rPr>
          <w:rFonts w:ascii="Times New Roman" w:hAnsi="Times New Roman" w:cs="Times New Roman"/>
          <w:sz w:val="28"/>
          <w:szCs w:val="28"/>
        </w:rPr>
        <w:t>группе</w:t>
      </w:r>
      <w:r w:rsidR="00156ADE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E75DED">
        <w:rPr>
          <w:rFonts w:ascii="Times New Roman" w:hAnsi="Times New Roman" w:cs="Times New Roman"/>
          <w:sz w:val="28"/>
          <w:szCs w:val="28"/>
        </w:rPr>
        <w:t>, получавших стандартную терапию</w:t>
      </w:r>
      <w:r w:rsidRPr="00581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ADE" w:rsidRPr="00156ADE" w:rsidRDefault="00156ADE" w:rsidP="0089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DE">
        <w:rPr>
          <w:rFonts w:ascii="Times New Roman" w:hAnsi="Times New Roman" w:cs="Times New Roman"/>
          <w:sz w:val="28"/>
          <w:szCs w:val="28"/>
        </w:rPr>
        <w:t>В настоящий момент с</w:t>
      </w:r>
      <w:r w:rsidR="00E75DED" w:rsidRPr="00156ADE">
        <w:rPr>
          <w:rFonts w:ascii="Times New Roman" w:hAnsi="Times New Roman" w:cs="Times New Roman"/>
          <w:sz w:val="28"/>
          <w:szCs w:val="28"/>
        </w:rPr>
        <w:t xml:space="preserve">уществует только одно исследование </w:t>
      </w:r>
      <w:r w:rsidR="0089238D">
        <w:rPr>
          <w:rFonts w:ascii="Times New Roman" w:hAnsi="Times New Roman" w:cs="Times New Roman"/>
          <w:sz w:val="28"/>
          <w:szCs w:val="28"/>
        </w:rPr>
        <w:t>по применению</w:t>
      </w:r>
      <w:r w:rsidR="00E75DED" w:rsidRPr="00156ADE">
        <w:rPr>
          <w:rFonts w:ascii="Times New Roman" w:hAnsi="Times New Roman" w:cs="Times New Roman"/>
          <w:sz w:val="28"/>
          <w:szCs w:val="28"/>
        </w:rPr>
        <w:t xml:space="preserve"> мезенхимных стволовых клетки у пациентов с ОХПН. </w:t>
      </w:r>
      <w:r w:rsidR="00E75DED" w:rsidRPr="00156ADE">
        <w:rPr>
          <w:rFonts w:ascii="Times New Roman" w:hAnsi="Times New Roman" w:cs="Times New Roman"/>
          <w:sz w:val="28"/>
          <w:szCs w:val="28"/>
          <w:lang w:val="en-US"/>
        </w:rPr>
        <w:t>Shi</w:t>
      </w:r>
      <w:r w:rsidR="00AD71FC" w:rsidRPr="00156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FC" w:rsidRPr="00156ADE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AD71FC" w:rsidRPr="00156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FC" w:rsidRPr="00156ADE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AD71FC" w:rsidRPr="00156ADE">
        <w:rPr>
          <w:rFonts w:ascii="Times New Roman" w:hAnsi="Times New Roman" w:cs="Times New Roman"/>
          <w:sz w:val="28"/>
          <w:szCs w:val="28"/>
        </w:rPr>
        <w:t>.</w:t>
      </w:r>
      <w:r w:rsidR="00E75DED" w:rsidRPr="00156ADE">
        <w:rPr>
          <w:rFonts w:ascii="Times New Roman" w:hAnsi="Times New Roman" w:cs="Times New Roman"/>
          <w:sz w:val="28"/>
          <w:szCs w:val="28"/>
        </w:rPr>
        <w:t xml:space="preserve">, </w:t>
      </w:r>
      <w:r w:rsidRPr="00156ADE">
        <w:rPr>
          <w:rFonts w:ascii="Times New Roman" w:hAnsi="Times New Roman" w:cs="Times New Roman"/>
          <w:sz w:val="28"/>
          <w:szCs w:val="28"/>
        </w:rPr>
        <w:t>исследовали 43 пациента с ОХПН, ассоциированным с HB</w:t>
      </w:r>
      <w:r w:rsidRPr="00156A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6ADE">
        <w:rPr>
          <w:rFonts w:ascii="Times New Roman" w:hAnsi="Times New Roman" w:cs="Times New Roman"/>
          <w:sz w:val="28"/>
          <w:szCs w:val="28"/>
        </w:rPr>
        <w:t xml:space="preserve">. 1-я группа получала лечение мезенхимальными стволовыми клетками (n = 24), 2-я группа (контроль) </w:t>
      </w:r>
      <w:r w:rsidR="0089238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156ADE">
        <w:rPr>
          <w:rFonts w:ascii="Times New Roman" w:hAnsi="Times New Roman" w:cs="Times New Roman"/>
          <w:sz w:val="28"/>
          <w:szCs w:val="28"/>
        </w:rPr>
        <w:t xml:space="preserve">19 </w:t>
      </w:r>
      <w:r w:rsidR="0089238D">
        <w:rPr>
          <w:rFonts w:ascii="Times New Roman" w:hAnsi="Times New Roman" w:cs="Times New Roman"/>
          <w:sz w:val="28"/>
          <w:szCs w:val="28"/>
        </w:rPr>
        <w:t>пациенто</w:t>
      </w:r>
      <w:r w:rsidR="00667F6A">
        <w:rPr>
          <w:rFonts w:ascii="Times New Roman" w:hAnsi="Times New Roman" w:cs="Times New Roman"/>
          <w:sz w:val="28"/>
          <w:szCs w:val="28"/>
        </w:rPr>
        <w:t>в</w:t>
      </w:r>
      <w:r w:rsidRPr="00156ADE">
        <w:rPr>
          <w:rFonts w:ascii="Times New Roman" w:hAnsi="Times New Roman" w:cs="Times New Roman"/>
          <w:sz w:val="28"/>
          <w:szCs w:val="28"/>
        </w:rPr>
        <w:t>, которым вводился физиологический раствор.</w:t>
      </w:r>
      <w:r w:rsidR="00667F6A">
        <w:rPr>
          <w:rFonts w:ascii="Times New Roman" w:hAnsi="Times New Roman" w:cs="Times New Roman"/>
          <w:sz w:val="28"/>
          <w:szCs w:val="28"/>
        </w:rPr>
        <w:t xml:space="preserve"> </w:t>
      </w:r>
      <w:r w:rsidRPr="00156ADE">
        <w:rPr>
          <w:rFonts w:ascii="Times New Roman" w:hAnsi="Times New Roman" w:cs="Times New Roman"/>
          <w:sz w:val="28"/>
          <w:szCs w:val="28"/>
        </w:rPr>
        <w:t xml:space="preserve">Процент выживаемости через 90 дней составил 79,2% против 52,5% в группе контроля. </w:t>
      </w:r>
    </w:p>
    <w:p w:rsidR="00AD71FC" w:rsidRDefault="00AD71FC" w:rsidP="0015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F10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AF7B67" w:rsidRPr="00DB7F10">
        <w:rPr>
          <w:rFonts w:ascii="Times New Roman" w:hAnsi="Times New Roman" w:cs="Times New Roman"/>
          <w:sz w:val="28"/>
          <w:szCs w:val="28"/>
        </w:rPr>
        <w:t>оба метода лечения</w:t>
      </w:r>
      <w:r w:rsidRPr="00DB7F10">
        <w:rPr>
          <w:rFonts w:ascii="Times New Roman" w:hAnsi="Times New Roman" w:cs="Times New Roman"/>
          <w:sz w:val="28"/>
          <w:szCs w:val="28"/>
        </w:rPr>
        <w:t xml:space="preserve"> (</w:t>
      </w:r>
      <w:r w:rsidR="00CA49B5" w:rsidRPr="00DB7F10">
        <w:rPr>
          <w:rFonts w:ascii="Times New Roman" w:hAnsi="Times New Roman" w:cs="Times New Roman"/>
          <w:sz w:val="28"/>
          <w:szCs w:val="28"/>
        </w:rPr>
        <w:t xml:space="preserve">Г-КСФ </w:t>
      </w:r>
      <w:r w:rsidRPr="00DB7F10">
        <w:rPr>
          <w:rFonts w:ascii="Times New Roman" w:hAnsi="Times New Roman" w:cs="Times New Roman"/>
          <w:sz w:val="28"/>
          <w:szCs w:val="28"/>
        </w:rPr>
        <w:t xml:space="preserve">и стволовые клетки) </w:t>
      </w:r>
      <w:r w:rsidR="00AF7B67" w:rsidRPr="00DB7F10">
        <w:rPr>
          <w:rFonts w:ascii="Times New Roman" w:hAnsi="Times New Roman" w:cs="Times New Roman"/>
          <w:sz w:val="28"/>
          <w:szCs w:val="28"/>
        </w:rPr>
        <w:t>продемонстрировали о</w:t>
      </w:r>
      <w:r w:rsidRPr="00DB7F10">
        <w:rPr>
          <w:rFonts w:ascii="Times New Roman" w:hAnsi="Times New Roman" w:cs="Times New Roman"/>
          <w:sz w:val="28"/>
          <w:szCs w:val="28"/>
        </w:rPr>
        <w:t xml:space="preserve">бнадеживающие результаты, </w:t>
      </w:r>
      <w:r w:rsidR="00DB7F10" w:rsidRPr="00DB7F10">
        <w:rPr>
          <w:rFonts w:ascii="Times New Roman" w:hAnsi="Times New Roman" w:cs="Times New Roman"/>
          <w:sz w:val="28"/>
          <w:szCs w:val="28"/>
        </w:rPr>
        <w:t xml:space="preserve">но полученные результаты требуют подтверждения </w:t>
      </w:r>
      <w:r w:rsidR="002F2F13">
        <w:rPr>
          <w:rFonts w:ascii="Times New Roman" w:hAnsi="Times New Roman" w:cs="Times New Roman"/>
          <w:sz w:val="28"/>
          <w:szCs w:val="28"/>
        </w:rPr>
        <w:t>на большем количестве исследований</w:t>
      </w:r>
      <w:r w:rsidR="00DB7F10" w:rsidRPr="00DB7F1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67F6A" w:rsidRPr="00DB7F10" w:rsidRDefault="00667F6A" w:rsidP="0015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7F6A" w:rsidRPr="00DB7F10" w:rsidSect="00EC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AC2"/>
    <w:multiLevelType w:val="hybridMultilevel"/>
    <w:tmpl w:val="593E0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7275DF"/>
    <w:multiLevelType w:val="hybridMultilevel"/>
    <w:tmpl w:val="6AAEE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504621"/>
    <w:multiLevelType w:val="multilevel"/>
    <w:tmpl w:val="53DA5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84227B"/>
    <w:multiLevelType w:val="multilevel"/>
    <w:tmpl w:val="1BEA1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03341F"/>
    <w:multiLevelType w:val="multilevel"/>
    <w:tmpl w:val="A1DC0EEC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D36F2"/>
    <w:multiLevelType w:val="multilevel"/>
    <w:tmpl w:val="293E87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F83F82"/>
    <w:multiLevelType w:val="hybridMultilevel"/>
    <w:tmpl w:val="41BE7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0E6578"/>
    <w:multiLevelType w:val="multilevel"/>
    <w:tmpl w:val="180853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D716B"/>
    <w:multiLevelType w:val="multilevel"/>
    <w:tmpl w:val="DDA6C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2F"/>
    <w:rsid w:val="00032585"/>
    <w:rsid w:val="00065351"/>
    <w:rsid w:val="000A371F"/>
    <w:rsid w:val="000A38CA"/>
    <w:rsid w:val="000A4F34"/>
    <w:rsid w:val="000E764E"/>
    <w:rsid w:val="00156ADE"/>
    <w:rsid w:val="001834FD"/>
    <w:rsid w:val="001A3EB3"/>
    <w:rsid w:val="001A452E"/>
    <w:rsid w:val="001C62D8"/>
    <w:rsid w:val="00232FDA"/>
    <w:rsid w:val="0024039C"/>
    <w:rsid w:val="00264CC3"/>
    <w:rsid w:val="00285249"/>
    <w:rsid w:val="002E5B05"/>
    <w:rsid w:val="002F2F13"/>
    <w:rsid w:val="0030722C"/>
    <w:rsid w:val="003118B8"/>
    <w:rsid w:val="00311A18"/>
    <w:rsid w:val="00321221"/>
    <w:rsid w:val="003518D8"/>
    <w:rsid w:val="0039231B"/>
    <w:rsid w:val="003C46A5"/>
    <w:rsid w:val="003D46EB"/>
    <w:rsid w:val="00414152"/>
    <w:rsid w:val="0042347C"/>
    <w:rsid w:val="004313A5"/>
    <w:rsid w:val="00435330"/>
    <w:rsid w:val="00435C8C"/>
    <w:rsid w:val="00436CE6"/>
    <w:rsid w:val="00436E60"/>
    <w:rsid w:val="00450B1B"/>
    <w:rsid w:val="0047392B"/>
    <w:rsid w:val="0047462B"/>
    <w:rsid w:val="004A27EC"/>
    <w:rsid w:val="004D7422"/>
    <w:rsid w:val="0050590F"/>
    <w:rsid w:val="00512DAA"/>
    <w:rsid w:val="005205D5"/>
    <w:rsid w:val="0054094B"/>
    <w:rsid w:val="00562EC8"/>
    <w:rsid w:val="00581FE1"/>
    <w:rsid w:val="005B4CE2"/>
    <w:rsid w:val="005C590F"/>
    <w:rsid w:val="005C79D0"/>
    <w:rsid w:val="005D62DE"/>
    <w:rsid w:val="00623073"/>
    <w:rsid w:val="006243DE"/>
    <w:rsid w:val="00667F6A"/>
    <w:rsid w:val="0067531C"/>
    <w:rsid w:val="006B3CBE"/>
    <w:rsid w:val="006C54B8"/>
    <w:rsid w:val="006E386F"/>
    <w:rsid w:val="0074198A"/>
    <w:rsid w:val="0075338F"/>
    <w:rsid w:val="007557EF"/>
    <w:rsid w:val="00776423"/>
    <w:rsid w:val="0079616F"/>
    <w:rsid w:val="007E3F01"/>
    <w:rsid w:val="007F01BD"/>
    <w:rsid w:val="00817F2D"/>
    <w:rsid w:val="00871967"/>
    <w:rsid w:val="00880688"/>
    <w:rsid w:val="0089238D"/>
    <w:rsid w:val="00894259"/>
    <w:rsid w:val="00896C51"/>
    <w:rsid w:val="008A47D4"/>
    <w:rsid w:val="008D5960"/>
    <w:rsid w:val="00923CCA"/>
    <w:rsid w:val="0093524A"/>
    <w:rsid w:val="009613F8"/>
    <w:rsid w:val="00964B02"/>
    <w:rsid w:val="009766A8"/>
    <w:rsid w:val="009A6F2E"/>
    <w:rsid w:val="009C05CA"/>
    <w:rsid w:val="009C323B"/>
    <w:rsid w:val="009C68F4"/>
    <w:rsid w:val="009E1279"/>
    <w:rsid w:val="00A16EC7"/>
    <w:rsid w:val="00A246D2"/>
    <w:rsid w:val="00A437AE"/>
    <w:rsid w:val="00A605EB"/>
    <w:rsid w:val="00A63999"/>
    <w:rsid w:val="00A7516A"/>
    <w:rsid w:val="00A97C20"/>
    <w:rsid w:val="00AC0058"/>
    <w:rsid w:val="00AC03B6"/>
    <w:rsid w:val="00AD71FC"/>
    <w:rsid w:val="00AF4CDC"/>
    <w:rsid w:val="00AF7B67"/>
    <w:rsid w:val="00BF073E"/>
    <w:rsid w:val="00C21F33"/>
    <w:rsid w:val="00C36928"/>
    <w:rsid w:val="00C42054"/>
    <w:rsid w:val="00C45CBE"/>
    <w:rsid w:val="00CA49B5"/>
    <w:rsid w:val="00CA7198"/>
    <w:rsid w:val="00CC2FBF"/>
    <w:rsid w:val="00CC5159"/>
    <w:rsid w:val="00CE3184"/>
    <w:rsid w:val="00D04E75"/>
    <w:rsid w:val="00D20436"/>
    <w:rsid w:val="00D47566"/>
    <w:rsid w:val="00D515E9"/>
    <w:rsid w:val="00D626EC"/>
    <w:rsid w:val="00D721A4"/>
    <w:rsid w:val="00D75B42"/>
    <w:rsid w:val="00DB7F10"/>
    <w:rsid w:val="00DC4A2F"/>
    <w:rsid w:val="00DD0A92"/>
    <w:rsid w:val="00E23836"/>
    <w:rsid w:val="00E320C7"/>
    <w:rsid w:val="00E50AA2"/>
    <w:rsid w:val="00E52BB5"/>
    <w:rsid w:val="00E71E17"/>
    <w:rsid w:val="00E755D3"/>
    <w:rsid w:val="00E75DED"/>
    <w:rsid w:val="00EA5F9F"/>
    <w:rsid w:val="00EB2805"/>
    <w:rsid w:val="00EC10BB"/>
    <w:rsid w:val="00EC444D"/>
    <w:rsid w:val="00ED1B8F"/>
    <w:rsid w:val="00ED40D9"/>
    <w:rsid w:val="00EE2293"/>
    <w:rsid w:val="00EF1A42"/>
    <w:rsid w:val="00EF3D0C"/>
    <w:rsid w:val="00F0099A"/>
    <w:rsid w:val="00F03E5D"/>
    <w:rsid w:val="00F43286"/>
    <w:rsid w:val="00F701B4"/>
    <w:rsid w:val="00F83F64"/>
    <w:rsid w:val="00FC54FE"/>
    <w:rsid w:val="00FD5227"/>
    <w:rsid w:val="00FE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30722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0722C"/>
    <w:pPr>
      <w:widowControl w:val="0"/>
      <w:shd w:val="clear" w:color="auto" w:fill="FFFFFF"/>
      <w:spacing w:after="480" w:line="216" w:lineRule="exact"/>
    </w:pPr>
    <w:rPr>
      <w:rFonts w:ascii="Arial Narrow" w:eastAsia="Arial Narrow" w:hAnsi="Arial Narrow" w:cs="Arial Narrow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4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64B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B02"/>
    <w:pPr>
      <w:widowControl w:val="0"/>
      <w:shd w:val="clear" w:color="auto" w:fill="FFFFFF"/>
      <w:spacing w:before="240" w:after="0" w:line="221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">
    <w:name w:val="Основной текст (9)_"/>
    <w:basedOn w:val="a0"/>
    <w:link w:val="90"/>
    <w:rsid w:val="006E386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E386F"/>
    <w:pPr>
      <w:widowControl w:val="0"/>
      <w:shd w:val="clear" w:color="auto" w:fill="FFFFFF"/>
      <w:spacing w:after="60" w:line="197" w:lineRule="exact"/>
      <w:ind w:hanging="400"/>
      <w:jc w:val="both"/>
    </w:pPr>
    <w:rPr>
      <w:rFonts w:ascii="Arial" w:eastAsia="Arial" w:hAnsi="Arial" w:cs="Arial"/>
      <w:sz w:val="16"/>
      <w:szCs w:val="16"/>
    </w:rPr>
  </w:style>
  <w:style w:type="character" w:customStyle="1" w:styleId="28pt">
    <w:name w:val="Основной текст (2) + 8 pt"/>
    <w:basedOn w:val="2"/>
    <w:rsid w:val="00675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67531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7531C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15pt">
    <w:name w:val="Основной текст (2) + 11;5 pt;Курсив"/>
    <w:basedOn w:val="2"/>
    <w:rsid w:val="00FE18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C2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0E764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0E764E"/>
    <w:pPr>
      <w:widowControl w:val="0"/>
      <w:shd w:val="clear" w:color="auto" w:fill="FFFFFF"/>
      <w:spacing w:after="240" w:line="0" w:lineRule="atLeast"/>
      <w:ind w:hanging="440"/>
      <w:jc w:val="both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1">
    <w:name w:val="Основной текст (6)_"/>
    <w:basedOn w:val="a0"/>
    <w:link w:val="62"/>
    <w:rsid w:val="000E764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E764E"/>
    <w:pPr>
      <w:widowControl w:val="0"/>
      <w:shd w:val="clear" w:color="auto" w:fill="FFFFFF"/>
      <w:spacing w:before="60" w:after="0" w:line="240" w:lineRule="exact"/>
      <w:ind w:hanging="32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styleId="a7">
    <w:name w:val="Hyperlink"/>
    <w:basedOn w:val="a0"/>
    <w:uiPriority w:val="99"/>
    <w:unhideWhenUsed/>
    <w:rsid w:val="00D51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30722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0722C"/>
    <w:pPr>
      <w:widowControl w:val="0"/>
      <w:shd w:val="clear" w:color="auto" w:fill="FFFFFF"/>
      <w:spacing w:after="480" w:line="216" w:lineRule="exact"/>
    </w:pPr>
    <w:rPr>
      <w:rFonts w:ascii="Arial Narrow" w:eastAsia="Arial Narrow" w:hAnsi="Arial Narrow" w:cs="Arial Narrow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4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64B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B02"/>
    <w:pPr>
      <w:widowControl w:val="0"/>
      <w:shd w:val="clear" w:color="auto" w:fill="FFFFFF"/>
      <w:spacing w:before="240" w:after="0" w:line="221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">
    <w:name w:val="Основной текст (9)_"/>
    <w:basedOn w:val="a0"/>
    <w:link w:val="90"/>
    <w:rsid w:val="006E386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E386F"/>
    <w:pPr>
      <w:widowControl w:val="0"/>
      <w:shd w:val="clear" w:color="auto" w:fill="FFFFFF"/>
      <w:spacing w:after="60" w:line="197" w:lineRule="exact"/>
      <w:ind w:hanging="400"/>
      <w:jc w:val="both"/>
    </w:pPr>
    <w:rPr>
      <w:rFonts w:ascii="Arial" w:eastAsia="Arial" w:hAnsi="Arial" w:cs="Arial"/>
      <w:sz w:val="16"/>
      <w:szCs w:val="16"/>
    </w:rPr>
  </w:style>
  <w:style w:type="character" w:customStyle="1" w:styleId="28pt">
    <w:name w:val="Основной текст (2) + 8 pt"/>
    <w:basedOn w:val="2"/>
    <w:rsid w:val="00675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67531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7531C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15pt">
    <w:name w:val="Основной текст (2) + 11;5 pt;Курсив"/>
    <w:basedOn w:val="2"/>
    <w:rsid w:val="00FE18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C2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0E764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0E764E"/>
    <w:pPr>
      <w:widowControl w:val="0"/>
      <w:shd w:val="clear" w:color="auto" w:fill="FFFFFF"/>
      <w:spacing w:after="240" w:line="0" w:lineRule="atLeast"/>
      <w:ind w:hanging="440"/>
      <w:jc w:val="both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1">
    <w:name w:val="Основной текст (6)_"/>
    <w:basedOn w:val="a0"/>
    <w:link w:val="62"/>
    <w:rsid w:val="000E764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E764E"/>
    <w:pPr>
      <w:widowControl w:val="0"/>
      <w:shd w:val="clear" w:color="auto" w:fill="FFFFFF"/>
      <w:spacing w:before="60" w:after="0" w:line="240" w:lineRule="exact"/>
      <w:ind w:hanging="32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styleId="a7">
    <w:name w:val="Hyperlink"/>
    <w:basedOn w:val="a0"/>
    <w:uiPriority w:val="99"/>
    <w:unhideWhenUsed/>
    <w:rsid w:val="00D51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4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2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2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0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7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9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20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02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02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98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869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152F-3F49-4C43-A17B-C3452D8F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ГБУЗ "Городская больница №40"</Company>
  <LinksUpToDate>false</LinksUpToDate>
  <CharactersWithSpaces>22557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Лантухов Дмитрий Викторович</dc:creator>
  <cp:lastModifiedBy>Скульская Юлия Валентиновна</cp:lastModifiedBy>
  <cp:revision>3</cp:revision>
  <dcterms:created xsi:type="dcterms:W3CDTF">2017-06-22T10:17:00Z</dcterms:created>
  <dcterms:modified xsi:type="dcterms:W3CDTF">2017-06-22T10:18:00Z</dcterms:modified>
</cp:coreProperties>
</file>